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7D1BE">
      <w:pPr>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rPr>
        <w:t>附件</w:t>
      </w:r>
      <w:r>
        <w:rPr>
          <w:rFonts w:hint="eastAsia" w:ascii="黑体" w:hAnsi="黑体" w:eastAsia="黑体" w:cs="黑体"/>
          <w:b w:val="0"/>
          <w:bCs w:val="0"/>
          <w:sz w:val="32"/>
          <w:szCs w:val="36"/>
          <w:lang w:val="en-US" w:eastAsia="zh-CN"/>
        </w:rPr>
        <w:t>1-1标段一参数要求及报价单</w:t>
      </w:r>
    </w:p>
    <w:p w14:paraId="28118A78">
      <w:pPr>
        <w:jc w:val="center"/>
        <w:rPr>
          <w:b/>
          <w:bCs/>
          <w:sz w:val="32"/>
          <w:szCs w:val="36"/>
        </w:rPr>
      </w:pPr>
      <w:r>
        <w:rPr>
          <w:rFonts w:hint="eastAsia"/>
          <w:b/>
          <w:bCs/>
          <w:sz w:val="32"/>
          <w:szCs w:val="36"/>
        </w:rPr>
        <w:t>仪器设备</w:t>
      </w:r>
      <w:r>
        <w:rPr>
          <w:rFonts w:hint="eastAsia"/>
          <w:b/>
          <w:bCs/>
          <w:sz w:val="32"/>
          <w:szCs w:val="36"/>
          <w:lang w:eastAsia="zh-CN"/>
        </w:rPr>
        <w:t>参数要求及报价单</w:t>
      </w:r>
    </w:p>
    <w:tbl>
      <w:tblPr>
        <w:tblStyle w:val="7"/>
        <w:tblW w:w="14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275"/>
        <w:gridCol w:w="7913"/>
        <w:gridCol w:w="1236"/>
        <w:gridCol w:w="1103"/>
        <w:gridCol w:w="981"/>
        <w:gridCol w:w="975"/>
      </w:tblGrid>
      <w:tr w14:paraId="1F0D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895" w:type="dxa"/>
            <w:vAlign w:val="center"/>
          </w:tcPr>
          <w:p w14:paraId="43F9F69C">
            <w:pPr>
              <w:ind w:leftChars="-39" w:hanging="81" w:hangingChars="39"/>
              <w:jc w:val="center"/>
              <w:rPr>
                <w:rFonts w:ascii="Times New Roman" w:hAnsi="Times New Roman" w:eastAsia="宋体" w:cs="Times New Roman"/>
              </w:rPr>
            </w:pPr>
            <w:r>
              <w:rPr>
                <w:rFonts w:hint="eastAsia" w:ascii="Times New Roman" w:hAnsi="Times New Roman" w:eastAsia="宋体" w:cs="Times New Roman"/>
              </w:rPr>
              <w:t>序号</w:t>
            </w:r>
          </w:p>
        </w:tc>
        <w:tc>
          <w:tcPr>
            <w:tcW w:w="1275" w:type="dxa"/>
            <w:vAlign w:val="center"/>
          </w:tcPr>
          <w:p w14:paraId="6776906B">
            <w:pPr>
              <w:jc w:val="center"/>
              <w:rPr>
                <w:rFonts w:ascii="Times New Roman" w:hAnsi="Times New Roman" w:eastAsia="宋体" w:cs="Times New Roman"/>
              </w:rPr>
            </w:pPr>
            <w:r>
              <w:rPr>
                <w:rFonts w:hint="eastAsia" w:ascii="Times New Roman" w:hAnsi="Times New Roman" w:eastAsia="宋体" w:cs="Times New Roman"/>
              </w:rPr>
              <w:t>设备</w:t>
            </w:r>
          </w:p>
        </w:tc>
        <w:tc>
          <w:tcPr>
            <w:tcW w:w="7913" w:type="dxa"/>
            <w:vAlign w:val="center"/>
          </w:tcPr>
          <w:p w14:paraId="4A8F393B">
            <w:pPr>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参数</w:t>
            </w:r>
          </w:p>
        </w:tc>
        <w:tc>
          <w:tcPr>
            <w:tcW w:w="1236" w:type="dxa"/>
            <w:vAlign w:val="center"/>
          </w:tcPr>
          <w:p w14:paraId="73935689">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品牌型号</w:t>
            </w:r>
          </w:p>
        </w:tc>
        <w:tc>
          <w:tcPr>
            <w:tcW w:w="1103" w:type="dxa"/>
            <w:vAlign w:val="center"/>
          </w:tcPr>
          <w:p w14:paraId="4B55C812">
            <w:pPr>
              <w:jc w:val="center"/>
              <w:rPr>
                <w:rFonts w:hint="eastAsia" w:ascii="Times New Roman" w:hAnsi="Times New Roman" w:eastAsia="宋体" w:cs="Times New Roman"/>
              </w:rPr>
            </w:pPr>
            <w:r>
              <w:rPr>
                <w:rFonts w:hint="eastAsia" w:ascii="Times New Roman" w:hAnsi="Times New Roman" w:eastAsia="宋体" w:cs="Times New Roman"/>
              </w:rPr>
              <w:t>单价</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sz w:val="15"/>
                <w:szCs w:val="15"/>
                <w:lang w:eastAsia="zh-CN"/>
              </w:rPr>
              <w:t>（万元）</w:t>
            </w:r>
          </w:p>
        </w:tc>
        <w:tc>
          <w:tcPr>
            <w:tcW w:w="981" w:type="dxa"/>
            <w:vAlign w:val="center"/>
          </w:tcPr>
          <w:p w14:paraId="766BB842">
            <w:pPr>
              <w:jc w:val="center"/>
              <w:rPr>
                <w:rFonts w:ascii="Times New Roman" w:hAnsi="Times New Roman" w:eastAsia="宋体" w:cs="Times New Roman"/>
              </w:rPr>
            </w:pPr>
            <w:r>
              <w:rPr>
                <w:rFonts w:hint="eastAsia" w:ascii="Times New Roman" w:hAnsi="Times New Roman" w:eastAsia="宋体" w:cs="Times New Roman"/>
              </w:rPr>
              <w:t>数量</w:t>
            </w:r>
          </w:p>
        </w:tc>
        <w:tc>
          <w:tcPr>
            <w:tcW w:w="975" w:type="dxa"/>
            <w:vAlign w:val="center"/>
          </w:tcPr>
          <w:p w14:paraId="1D88AACC">
            <w:pPr>
              <w:jc w:val="center"/>
              <w:rPr>
                <w:rFonts w:hint="eastAsia" w:ascii="Times New Roman" w:hAnsi="Times New Roman" w:eastAsia="宋体" w:cs="Times New Roman"/>
                <w:lang w:val="en-US" w:eastAsia="zh-CN"/>
              </w:rPr>
            </w:pPr>
            <w:r>
              <w:rPr>
                <w:rFonts w:hint="eastAsia" w:ascii="Times New Roman" w:hAnsi="Times New Roman" w:eastAsia="宋体" w:cs="Times New Roman"/>
              </w:rPr>
              <w:t>合计</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sz w:val="15"/>
                <w:szCs w:val="15"/>
                <w:lang w:val="en-US" w:eastAsia="zh-CN"/>
              </w:rPr>
              <w:t>（万元）</w:t>
            </w:r>
          </w:p>
        </w:tc>
      </w:tr>
      <w:tr w14:paraId="5943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6" w:hRule="atLeast"/>
          <w:jc w:val="center"/>
        </w:trPr>
        <w:tc>
          <w:tcPr>
            <w:tcW w:w="895" w:type="dxa"/>
            <w:vAlign w:val="center"/>
          </w:tcPr>
          <w:p w14:paraId="55A32C3A">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1275" w:type="dxa"/>
            <w:vAlign w:val="center"/>
          </w:tcPr>
          <w:p w14:paraId="2EF594DA">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集成化信号采集与处理系统（含实验室信息化管理软件）</w:t>
            </w:r>
          </w:p>
        </w:tc>
        <w:tc>
          <w:tcPr>
            <w:tcW w:w="7913" w:type="dxa"/>
            <w:vAlign w:val="center"/>
          </w:tcPr>
          <w:p w14:paraId="0CF766DD">
            <w:pPr>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硬件</w:t>
            </w:r>
          </w:p>
          <w:p w14:paraId="4B5FF62E">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系统采用高度集成化设计，包括手术实验工作台、信号采集与处理系统、动物呼吸机、小动物肛温仪、手术照明系统、多显示系统、摄像系统、手术器械包、生物信号采集与分析系统附件包、实验兔台，并配备平板电脑集中控制器和PC端控制软件。</w:t>
            </w:r>
          </w:p>
          <w:p w14:paraId="6CFCB23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集成化手术实验工作台参数</w:t>
            </w:r>
          </w:p>
          <w:p w14:paraId="7E60CD70">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2.1.</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台面材质：由ABS工程塑料制成，材质具有耐酸碱腐蚀特性。</w:t>
            </w:r>
          </w:p>
          <w:p w14:paraId="1C92333A">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2.2.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屏蔽层设计：台面内置金属屏蔽层，与外部接地端连接，降低50/60Hz电磁干扰。</w:t>
            </w:r>
          </w:p>
          <w:p w14:paraId="5885CC14">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2.3.</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高度调节功能：台面高度升降范围不低于20cm，调节精度1cm，响应时间不大于100ms。</w:t>
            </w:r>
          </w:p>
          <w:p w14:paraId="58188482">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2.4.</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集成氧气调压系统：调压范围0-0.4MPa，具备锁定功能，耐压1.5MPa，带压力表直观显示，采用快接式氧气输入接口，标配湿化瓶。</w:t>
            </w:r>
          </w:p>
          <w:p w14:paraId="23987971">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3.</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信号采集与处理系统</w:t>
            </w:r>
          </w:p>
          <w:p w14:paraId="12760F4B">
            <w:pPr>
              <w:jc w:val="left"/>
              <w:rPr>
                <w:rFonts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3.1</w:t>
            </w:r>
            <w:r>
              <w:rPr>
                <w:rFonts w:hint="eastAsia" w:ascii="Times New Roman" w:hAnsi="Times New Roman" w:eastAsia="宋体" w:cs="Times New Roman"/>
                <w:sz w:val="20"/>
                <w:szCs w:val="20"/>
              </w:rPr>
              <w:t>内置式信号采集与处理系统参数用于生物信号采集和数据处理、分析、生成实验报告；</w:t>
            </w:r>
          </w:p>
          <w:p w14:paraId="48EAAB6C">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实验环境监测：系统内置实验室环境监测功能，能够精确测量温度（精度0.1℃）、湿度和大气压，并在信号采集面板及PC端软件中显示和记录到数据文件中。</w:t>
            </w:r>
          </w:p>
          <w:p w14:paraId="56835E18">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3.3.</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控制方式：可通过平板电脑集中控制器无线控制信号采集系统的开关，也可通过PC端控制软件进行系统开关控制。</w:t>
            </w:r>
          </w:p>
          <w:p w14:paraId="332ABD15">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3.4.</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通道接口：系统配备不少于4个物理采样通道，1个记滴输入接口，1个监听输出接口，1个刺激输出接口，以及1个12导联全导联接口。</w:t>
            </w:r>
          </w:p>
          <w:p w14:paraId="4A41D4B5">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3.5.</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同步记录功能：4个物理采样通道与12导联全导联接口可同时记录使用，实现16通道波形的实时显示与记录保存。</w:t>
            </w:r>
          </w:p>
          <w:p w14:paraId="4081A1A0">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3.6.</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采样率：≤800KHz</w:t>
            </w:r>
          </w:p>
          <w:p w14:paraId="697248D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3.7.</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电气性能：共模抑制比（CMMR）大于100dB，输入阻抗10MΩ@DC，信噪比大于90dB，等效输入噪声电压峰峰值小于2.0μV。</w:t>
            </w:r>
          </w:p>
          <w:p w14:paraId="65592F29">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3.8.</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硬件量程：信号放大范围±20uV~1V，提供不少于15档可调量程，</w:t>
            </w:r>
            <w:r>
              <w:rPr>
                <w:rFonts w:hint="eastAsia" w:ascii="Times New Roman" w:hAnsi="Times New Roman" w:eastAsia="宋体" w:cs="Times New Roman"/>
                <w:sz w:val="20"/>
                <w:szCs w:val="20"/>
                <w:lang w:val="en-US" w:eastAsia="zh-CN"/>
              </w:rPr>
              <w:t>范围</w:t>
            </w:r>
            <w:r>
              <w:rPr>
                <w:rFonts w:hint="eastAsia" w:ascii="Times New Roman" w:hAnsi="Times New Roman" w:eastAsia="宋体" w:cs="Times New Roman"/>
                <w:sz w:val="20"/>
                <w:szCs w:val="20"/>
              </w:rPr>
              <w:t>包括±1V</w:t>
            </w:r>
            <w:r>
              <w:rPr>
                <w:rFonts w:hint="eastAsia" w:ascii="Times New Roman" w:hAnsi="Times New Roman" w:eastAsia="宋体" w:cs="Times New Roman"/>
                <w:sz w:val="20"/>
                <w:szCs w:val="20"/>
                <w:lang w:val="en-US" w:eastAsia="zh-CN"/>
              </w:rPr>
              <w:t>至</w:t>
            </w:r>
            <w:r>
              <w:rPr>
                <w:rFonts w:hint="eastAsia" w:ascii="Times New Roman" w:hAnsi="Times New Roman" w:eastAsia="宋体" w:cs="Times New Roman"/>
                <w:sz w:val="20"/>
                <w:szCs w:val="20"/>
              </w:rPr>
              <w:t>±20uV。</w:t>
            </w:r>
          </w:p>
          <w:p w14:paraId="5E59C18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3.9.</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硬件滤波器低通滤波：不少于15档可调，</w:t>
            </w:r>
            <w:r>
              <w:rPr>
                <w:rFonts w:hint="eastAsia" w:ascii="Times New Roman" w:hAnsi="Times New Roman" w:eastAsia="宋体" w:cs="Times New Roman"/>
                <w:sz w:val="20"/>
                <w:szCs w:val="20"/>
                <w:lang w:val="en-US" w:eastAsia="zh-CN"/>
              </w:rPr>
              <w:t>范围</w:t>
            </w:r>
            <w:r>
              <w:rPr>
                <w:rFonts w:hint="eastAsia" w:ascii="Times New Roman" w:hAnsi="Times New Roman" w:eastAsia="宋体" w:cs="Times New Roman"/>
                <w:sz w:val="20"/>
                <w:szCs w:val="20"/>
              </w:rPr>
              <w:t>包括1Hz</w:t>
            </w:r>
            <w:r>
              <w:rPr>
                <w:rFonts w:hint="eastAsia" w:ascii="Times New Roman" w:hAnsi="Times New Roman" w:eastAsia="宋体" w:cs="Times New Roman"/>
                <w:sz w:val="20"/>
                <w:szCs w:val="20"/>
                <w:lang w:val="en-US" w:eastAsia="zh-CN"/>
              </w:rPr>
              <w:t>到</w:t>
            </w:r>
            <w:r>
              <w:rPr>
                <w:rFonts w:hint="eastAsia" w:ascii="Times New Roman" w:hAnsi="Times New Roman" w:eastAsia="宋体" w:cs="Times New Roman"/>
                <w:sz w:val="20"/>
                <w:szCs w:val="20"/>
              </w:rPr>
              <w:t>50KHz。</w:t>
            </w:r>
          </w:p>
          <w:p w14:paraId="4168CC5E">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3.10.</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硬件滤波器高通滤波器（时间常数）：不少于13档可调，</w:t>
            </w:r>
            <w:r>
              <w:rPr>
                <w:rFonts w:hint="eastAsia" w:ascii="Times New Roman" w:hAnsi="Times New Roman" w:eastAsia="宋体" w:cs="Times New Roman"/>
                <w:sz w:val="20"/>
                <w:szCs w:val="20"/>
                <w:lang w:val="en-US" w:eastAsia="zh-CN"/>
              </w:rPr>
              <w:t>范围</w:t>
            </w:r>
            <w:r>
              <w:rPr>
                <w:rFonts w:hint="eastAsia" w:ascii="Times New Roman" w:hAnsi="Times New Roman" w:eastAsia="宋体" w:cs="Times New Roman"/>
                <w:sz w:val="20"/>
                <w:szCs w:val="20"/>
              </w:rPr>
              <w:t>包括DC、5s</w:t>
            </w:r>
            <w:r>
              <w:rPr>
                <w:rFonts w:hint="eastAsia" w:ascii="Times New Roman" w:hAnsi="Times New Roman" w:eastAsia="宋体" w:cs="Times New Roman"/>
                <w:sz w:val="20"/>
                <w:szCs w:val="20"/>
                <w:lang w:val="en-US" w:eastAsia="zh-CN"/>
              </w:rPr>
              <w:t>至</w:t>
            </w:r>
            <w:r>
              <w:rPr>
                <w:rFonts w:hint="eastAsia" w:ascii="Times New Roman" w:hAnsi="Times New Roman" w:eastAsia="宋体" w:cs="Times New Roman"/>
                <w:sz w:val="20"/>
                <w:szCs w:val="20"/>
              </w:rPr>
              <w:t>1ms。</w:t>
            </w:r>
          </w:p>
          <w:p w14:paraId="0DB4CE0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3.10.1.软件数字滤波器：具备无级可调功能。</w:t>
            </w:r>
          </w:p>
          <w:p w14:paraId="787026A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3.11.</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传感器识别：系统能实时自动识别任意物理通道连接的传感器类型，同时在仪器面板和软件界面上显示具体传感器类型和参数提示。</w:t>
            </w:r>
          </w:p>
          <w:p w14:paraId="56BEFBDD">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3.12.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内置程控刺激器参数</w:t>
            </w:r>
          </w:p>
          <w:p w14:paraId="1651DA8F">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3.12.1.</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刺激输出波形：可输出三角波、方波、正负方波、正弦波等常规波形，且可提供用户自定义功能，可编辑任意刺激输出波形，以适应多样化的实验场景。</w:t>
            </w:r>
          </w:p>
          <w:p w14:paraId="5B4F0A7E">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3.12.2.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输出模式：包括电流、粗电压、细电压三种方式。1）电流输出范围：-50mA~50mA；2）粗电压模式电压输出范围：-110V~110V，限制在人体安全电流以下；3）细电压模式电压输出范围：-30V~30V，电流带载能力大于150mA，适用于电场刺激实验。</w:t>
            </w:r>
          </w:p>
          <w:p w14:paraId="74DE157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3.12.3.</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高级程控功能：软件支持设定多组不同方式、波形、幅度、频率的刺激组合，并自动程控完成组合刺激。</w:t>
            </w:r>
          </w:p>
          <w:p w14:paraId="7CE5666E">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4.</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集成小动物肛温测量仪：测量及显示精度0.1℃，平板电脑集中控制器和PC端控制软件均可实时显示，配备专用小动物肛温传感器。</w:t>
            </w:r>
          </w:p>
          <w:p w14:paraId="3DDDC8E2">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5.</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集成手术照明系统：4个独立角度可调LED灯，</w:t>
            </w:r>
            <w:r>
              <w:rPr>
                <w:rFonts w:hint="eastAsia" w:ascii="Times New Roman" w:hAnsi="Times New Roman" w:eastAsia="宋体" w:cs="Times New Roman"/>
                <w:sz w:val="20"/>
                <w:szCs w:val="20"/>
                <w:lang w:val="en-US" w:eastAsia="zh-CN"/>
              </w:rPr>
              <w:t>色温不少于3000K，</w:t>
            </w:r>
            <w:r>
              <w:rPr>
                <w:rFonts w:hint="eastAsia" w:ascii="Times New Roman" w:hAnsi="Times New Roman" w:eastAsia="宋体" w:cs="Times New Roman"/>
                <w:sz w:val="20"/>
                <w:szCs w:val="20"/>
              </w:rPr>
              <w:t>通过平板电脑集中控制器和PC端控制软件，可无线控制多种灯光组合。</w:t>
            </w:r>
          </w:p>
          <w:p w14:paraId="03E75BCC">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6.</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多显示系统：1）显示器布局：配备上下双显示器，分别不低于23.8英寸、12.5英寸； 2）上显示器</w:t>
            </w:r>
            <w:r>
              <w:rPr>
                <w:rFonts w:hint="eastAsia" w:ascii="Times New Roman" w:hAnsi="Times New Roman" w:eastAsia="宋体" w:cs="Times New Roman"/>
                <w:sz w:val="20"/>
                <w:szCs w:val="20"/>
                <w:lang w:val="en-US" w:eastAsia="zh-CN"/>
              </w:rPr>
              <w:t>具备</w:t>
            </w:r>
            <w:r>
              <w:rPr>
                <w:rFonts w:hint="eastAsia" w:ascii="Times New Roman" w:hAnsi="Times New Roman" w:eastAsia="宋体" w:cs="Times New Roman"/>
                <w:sz w:val="20"/>
                <w:szCs w:val="20"/>
              </w:rPr>
              <w:t>高度升降</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sz w:val="20"/>
                <w:szCs w:val="20"/>
              </w:rPr>
              <w:t>左右旋转</w:t>
            </w:r>
            <w:r>
              <w:rPr>
                <w:rFonts w:hint="eastAsia" w:ascii="Times New Roman" w:hAnsi="Times New Roman" w:eastAsia="宋体" w:cs="Times New Roman"/>
                <w:sz w:val="20"/>
                <w:szCs w:val="20"/>
                <w:lang w:val="en-US" w:eastAsia="zh-CN"/>
              </w:rPr>
              <w:t>和</w:t>
            </w:r>
            <w:r>
              <w:rPr>
                <w:rFonts w:hint="eastAsia" w:ascii="Times New Roman" w:hAnsi="Times New Roman" w:eastAsia="宋体" w:cs="Times New Roman"/>
                <w:sz w:val="20"/>
                <w:szCs w:val="20"/>
              </w:rPr>
              <w:t>上下倾角调节功能。</w:t>
            </w:r>
          </w:p>
          <w:p w14:paraId="083F4CBE">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7.</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集成摄像系统：内置高清摄像头，不低于20倍光学变焦，确保高分辨力，清晰辨识手术线及血管，平板电脑集中控制器和PC端控制软件可无线控制摄像头光学变焦功能。</w:t>
            </w:r>
          </w:p>
          <w:p w14:paraId="2AABDCE5">
            <w:pPr>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软件</w:t>
            </w:r>
          </w:p>
          <w:p w14:paraId="7758D038">
            <w:pPr>
              <w:numPr>
                <w:ilvl w:val="0"/>
                <w:numId w:val="1"/>
              </w:num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软件兼容性：软件支持在国产操作系统上稳定运行</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sz w:val="20"/>
                <w:szCs w:val="20"/>
                <w:lang w:val="en-US" w:eastAsia="zh-CN"/>
              </w:rPr>
              <w:t>附证明材料</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sz w:val="20"/>
                <w:szCs w:val="20"/>
              </w:rPr>
              <w:t>。</w:t>
            </w:r>
          </w:p>
          <w:p w14:paraId="4DCEBDDE">
            <w:pPr>
              <w:numPr>
                <w:ilvl w:val="0"/>
                <w:numId w:val="0"/>
              </w:num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内嵌web电子教材：软件实验模块集成web电子教材。</w:t>
            </w:r>
          </w:p>
          <w:p w14:paraId="264857E7">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3.</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安全教育及准入项目：软件包含《机能实验室安全教育及准入》项目，分为自主学习和准入考核两大模块。1）多平台访问支持：项目支持手机、PC等多种终端访问学习。（提供实验室安全准入产品演示视频：软件包含实验室安全教育及平台准入软件项目，分为自主学习和准入考核两大模块。1）多平台访问支持：项目支持手机、PC等多种终端访问学习。2）自主学习模块：包含机能实验室、病理实验室、显微形态实验室等， ≥15种仪器的介绍、≥20个实验安全知识点的介绍和≥30个实验方法的视频介绍）</w:t>
            </w:r>
          </w:p>
          <w:p w14:paraId="3E7EF45F">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4.</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波形截图水印功能：在波形截图的复制与粘贴过程中，添加机器码、时间戳等半透明水印防止抄袭，此外教师可通过教师机对学生机的水印内容进行自定义设置，确保水印信息的统一性和可控性。水印内容设置将排除通过添加实验标签的方式，以保障水印信息的独立性和安全性。</w:t>
            </w:r>
          </w:p>
          <w:p w14:paraId="6E6B92A6">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5.</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信号采集与处理软件界面功能：通过一键操作，直接打开实验报告，进行编辑、保存、打印等操作。</w:t>
            </w:r>
          </w:p>
          <w:p w14:paraId="5150A775">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6.</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软件自动升级功能：软件能够自动搜索并检测服务器上的最新版本，及时提醒用户升级，用户确认后可自动升级。</w:t>
            </w:r>
          </w:p>
          <w:p w14:paraId="40BA2D1F">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7.</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通用数据处理功能：涵盖微分、积分、频率直方图、序列及非序列密度直方图、频谱分析等高级数据处理功能，同时提供平均血压计算、记滴趋势分析，以及心率曲线分析等。此外，系统支持单点测量、带Mark标记的两点测量、区间测量和实时测量，能够精确测定波形的最大值、最小值、平均值，以及时间、频率、面积等多种关键参数，确保数据处理的全面性和准确性。</w:t>
            </w:r>
          </w:p>
          <w:p w14:paraId="47FF6904">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8.</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专用数据处理功能：涵盖血流动力学实验参数分析、心肌细胞动作电位参数测量、心功能参数分析，突触后电位分析，心率变异分析，心电向量图分析等，并提供相关DEMO数据供用户演示和学习。</w:t>
            </w:r>
          </w:p>
          <w:p w14:paraId="27B7BEFA">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9.</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专业心率变异分析功能：能够直观展示Lorenz图、RR间期直方图、RR间期差值图、速度图以及功率谱分析图，为用户提供全面的数据可视化工具。</w:t>
            </w:r>
          </w:p>
          <w:p w14:paraId="2313CBA4">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10.</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专业LTP数据分析功能：能够精确计算LTP波形的（A段+B段）/2的数值及其平均值，以及C段20%~80%区间的回归直线斜率值和其平均值，并自动标注关键点坐标。</w:t>
            </w:r>
          </w:p>
          <w:p w14:paraId="393587AF">
            <w:pPr>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二、集成式小动物呼吸机：</w:t>
            </w:r>
          </w:p>
          <w:p w14:paraId="304158BC">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潮气量调节：范围0.1～99.9ml，调节及显示精度0.1ml；</w:t>
            </w:r>
          </w:p>
          <w:p w14:paraId="22202B67">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呼吸时比：1:5至5:5范围内可调；</w:t>
            </w:r>
          </w:p>
          <w:p w14:paraId="3D85EAE6">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呼吸频率调节：可调范围1～200次/分；</w:t>
            </w:r>
          </w:p>
          <w:p w14:paraId="0806328B">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4.</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快速参数设置：具备针对大鼠、小鼠及家兔的一键参数设置功能；</w:t>
            </w:r>
          </w:p>
          <w:p w14:paraId="15E79C1F">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5.</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无线控制与设置：通过平板电脑集中控制器和PC端控制软件，实现无线设置呼吸机的潮气量数据、呼吸时比数据、呼吸频率等关键数据，并提供图形化按钮以便快速无线切换动物模式。</w:t>
            </w:r>
          </w:p>
          <w:p w14:paraId="1269FA11">
            <w:pPr>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三、高级手术器械包</w:t>
            </w:r>
          </w:p>
          <w:p w14:paraId="449D13B5">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配置包含：普通剪刀1把、眼科剪1把、手术剪（直尖头）1把、手术剪（弯圆头）1把、手术刀1把、止血钳（直）2把、止血钳（弯）2把、组织钳2把、蚊氏止血钳2把、持针钳1把、解剖镊1把、眼用镊（弯）1把、眼用镊（直）1把、显微镊1把、颅骨钻1个、咬骨钳1把、玻璃分针2根、毁髓针1根、锌铜弓1个、医用缝合针11包、医用缝合线3包、灌胃器（大鼠）1根、灌胃器（小鼠）1根、动脉夹4个、兔开口器1个。</w:t>
            </w:r>
          </w:p>
          <w:p w14:paraId="31C898E4">
            <w:pPr>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四、系统附件包：</w:t>
            </w:r>
          </w:p>
          <w:p w14:paraId="36330A5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配置包含悬浮电极1根、动脉夹1个、三通阀1个蛙心夹2个、蛙足钉8颗、蛙心插管1根、蛙板1个、蛙心支架1个、动脉插管</w:t>
            </w:r>
            <w:r>
              <w:rPr>
                <w:rFonts w:hint="eastAsia" w:ascii="Times New Roman" w:hAnsi="Times New Roman" w:eastAsia="宋体" w:cs="Times New Roman"/>
                <w:sz w:val="20"/>
                <w:szCs w:val="20"/>
                <w:lang w:val="en-US" w:eastAsia="zh-CN"/>
              </w:rPr>
              <w:t>5</w:t>
            </w:r>
            <w:r>
              <w:rPr>
                <w:rFonts w:hint="eastAsia" w:ascii="Times New Roman" w:hAnsi="Times New Roman" w:eastAsia="宋体" w:cs="Times New Roman"/>
                <w:sz w:val="20"/>
                <w:szCs w:val="20"/>
              </w:rPr>
              <w:t>根、固定金属杆连接杆1根、万向双凹夹1个、血压传感器夹持器1个、神经屏蔽盒1个、尿滴受滴器1个、铁架台</w:t>
            </w:r>
            <w:r>
              <w:rPr>
                <w:rFonts w:hint="eastAsia" w:ascii="Times New Roman" w:hAnsi="Times New Roman" w:eastAsia="宋体" w:cs="Times New Roman"/>
                <w:sz w:val="20"/>
                <w:szCs w:val="20"/>
                <w:lang w:val="en-US" w:eastAsia="zh-CN"/>
              </w:rPr>
              <w:t>3</w:t>
            </w:r>
            <w:r>
              <w:rPr>
                <w:rFonts w:hint="eastAsia" w:ascii="Times New Roman" w:hAnsi="Times New Roman" w:eastAsia="宋体" w:cs="Times New Roman"/>
                <w:sz w:val="20"/>
                <w:szCs w:val="20"/>
              </w:rPr>
              <w:t>个、二维调节器1个、气管插管3根、神经引导电极1根、保护电极1根、刺激电极1根、屏蔽盒刺激输出线1根、屏蔽盒信号输入线2根、信号输入线1根、刺激、计滴线1根、全导联心电线1根、污物缸1个、小动物心电信号输入线1根。</w:t>
            </w:r>
          </w:p>
          <w:p w14:paraId="444540AE">
            <w:pPr>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五、加热兔台</w:t>
            </w:r>
          </w:p>
          <w:p w14:paraId="19BCB338">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1.</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加热系统：内置加热金属，嵌于ABS外壳中央，加热区域300mm×120mm，机身重量≤3.5Kg，</w:t>
            </w:r>
            <w:r>
              <w:rPr>
                <w:rFonts w:hint="eastAsia" w:ascii="Times New Roman" w:hAnsi="Times New Roman" w:eastAsia="宋体" w:cs="Times New Roman"/>
                <w:sz w:val="20"/>
                <w:szCs w:val="20"/>
                <w:lang w:val="en-US" w:eastAsia="zh-CN"/>
              </w:rPr>
              <w:t>运行</w:t>
            </w:r>
            <w:r>
              <w:rPr>
                <w:rFonts w:hint="eastAsia" w:ascii="Times New Roman" w:hAnsi="Times New Roman" w:eastAsia="宋体" w:cs="Times New Roman"/>
                <w:sz w:val="20"/>
                <w:szCs w:val="20"/>
              </w:rPr>
              <w:t>稳定</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sz w:val="20"/>
                <w:szCs w:val="20"/>
              </w:rPr>
              <w:t>易于移动和清洗。</w:t>
            </w:r>
          </w:p>
          <w:p w14:paraId="5371AFD8">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加热技术：采用低压直流加热，无交流干扰。</w:t>
            </w:r>
          </w:p>
          <w:p w14:paraId="58C73A89">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温度控制：数字恒温控制器，具备双重限温保护，最高温度设定为45℃。</w:t>
            </w:r>
          </w:p>
          <w:p w14:paraId="0C049F9C">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4.</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四肢固定：可更换型扣式结构设计。</w:t>
            </w:r>
          </w:p>
          <w:p w14:paraId="078208F4">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5.</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配置输液架：高度600-1000mm可调，可收纳于兔台底部。</w:t>
            </w:r>
          </w:p>
          <w:p w14:paraId="5D4AD94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6.</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废液管理：兔台尾部集成实验废液收集槽，支持废液的暂存与即时排出。</w:t>
            </w:r>
          </w:p>
          <w:p w14:paraId="78C92E02">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7.</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头部固定：头枕可前后调节，有效稳固兔头位置，同时保持颈部气管自然舒张状态。</w:t>
            </w:r>
          </w:p>
          <w:p w14:paraId="0E3C941F">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8.</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防水设计：一体化防水，适用于全身冲洗。</w:t>
            </w:r>
          </w:p>
          <w:p w14:paraId="4D224AA4">
            <w:pPr>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六、平板电脑集中控制系统参数</w:t>
            </w:r>
          </w:p>
          <w:p w14:paraId="595EDB84">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1.</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平板电脑集中控制器采用专用的应用程序，通过本地蓝牙无线连接实现对手术实验工作台的精确控制。</w:t>
            </w:r>
          </w:p>
          <w:p w14:paraId="7BEFA34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标配可移动高性能平板电脑：通过运行内置专用集中控制系统应用程序，实现对系统集成手术实验工作台、集成信号采集与处理系统、集成动物呼吸机、集成手术照明系统、集成摄像系统等的一站式集中控制。</w:t>
            </w:r>
          </w:p>
          <w:p w14:paraId="50E89E5E">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3.</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图形化控制界面：平板电脑集中控制器专用应用程序采用直观的图形化控制界面，确保所有集成设备的操作均通过简洁明了的图形化元素完成，体现交互体验和操作便捷性。</w:t>
            </w:r>
          </w:p>
          <w:p w14:paraId="3861F02E">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4.</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控制设备自动识别与连接：平板电脑集中控制器具备智能识别功能，能自动识别和连接平台上的所有集成电子设备。</w:t>
            </w:r>
          </w:p>
          <w:p w14:paraId="679AEBD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5.</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集成手术实验工作台面控制功能：平板电脑集中控制器专用应用程序提供精细的台面升降控制，包括一键升至最高、一键降至最低、恢复预设高度、逐单位高度上升和下降，以及暂停升降等功能。</w:t>
            </w:r>
          </w:p>
          <w:p w14:paraId="30825B7B">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6.</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集成照明系统控制功能：平板电脑集中控制器专用的应用程序支持独立及多组合灯光控制，以适应不同的手术照明需求。</w:t>
            </w:r>
          </w:p>
          <w:p w14:paraId="021F774C">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7.</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集成动物呼吸机控制功能：平板电脑集中控制器专用应用程序对动物呼吸机的启停控制，支持动物类型的快速选择，并能精确调节潮气量、呼吸时比和呼吸频率等关键参数，实时显示动物肺部压力动态反馈。</w:t>
            </w:r>
          </w:p>
          <w:p w14:paraId="1F471BED">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8.</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集成小动物肛温仪数据反馈：平板电脑集中控制器专用的应用程序能够实时接收并显示小动物肛温数据。</w:t>
            </w:r>
          </w:p>
          <w:p w14:paraId="6FB3D212">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9.</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集成摄像系统控制功能：平板电脑集中控制器实现20倍光学变焦调节，</w:t>
            </w:r>
            <w:r>
              <w:rPr>
                <w:rFonts w:hint="eastAsia" w:ascii="Times New Roman" w:hAnsi="Times New Roman" w:eastAsia="宋体" w:cs="Times New Roman"/>
                <w:sz w:val="20"/>
                <w:szCs w:val="20"/>
                <w:lang w:val="en-US" w:eastAsia="zh-CN"/>
              </w:rPr>
              <w:t>可完成</w:t>
            </w:r>
            <w:r>
              <w:rPr>
                <w:rFonts w:hint="eastAsia" w:ascii="Times New Roman" w:hAnsi="Times New Roman" w:eastAsia="宋体" w:cs="Times New Roman"/>
                <w:sz w:val="20"/>
                <w:szCs w:val="20"/>
              </w:rPr>
              <w:t>5倍、10倍、20倍一键快捷切换，调节精度1倍，响应速度优于100ms；同时系统</w:t>
            </w:r>
            <w:r>
              <w:rPr>
                <w:rFonts w:hint="eastAsia" w:ascii="Times New Roman" w:hAnsi="Times New Roman" w:eastAsia="宋体" w:cs="Times New Roman"/>
                <w:sz w:val="20"/>
                <w:szCs w:val="20"/>
                <w:lang w:val="en-US" w:eastAsia="zh-CN"/>
              </w:rPr>
              <w:t>具备</w:t>
            </w:r>
            <w:r>
              <w:rPr>
                <w:rFonts w:hint="eastAsia" w:ascii="Times New Roman" w:hAnsi="Times New Roman" w:eastAsia="宋体" w:cs="Times New Roman"/>
                <w:sz w:val="20"/>
                <w:szCs w:val="20"/>
              </w:rPr>
              <w:t>智能检测，一旦摄像系统出现异常，APP将实时反馈故障状态。</w:t>
            </w:r>
          </w:p>
          <w:p w14:paraId="2EE05FE5">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10.</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语音控制及播报功能：系统支持通过语音指令进行控制，并具备语音播报功能，提升操作的便捷性和互动性。</w:t>
            </w:r>
          </w:p>
          <w:p w14:paraId="7925468C">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11.</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电源极性检测功能：系统实时监测用电插座的零线和火线连接是否符合规范，一旦发现故障，在3秒内通过平板电脑集中控制器发出警示。</w:t>
            </w:r>
          </w:p>
          <w:p w14:paraId="2921BD17">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12.</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保护接地（安全接地）检测功能：系统实时检测用电插座的地线连接是否符合规范，一旦发现故障，在3秒内通过平板电脑集中控制器发出警示。</w:t>
            </w:r>
          </w:p>
          <w:p w14:paraId="72FC678D">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13.</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系统自检功能：系统开机时自动执行自检程序，检测集中控制的可用性、供电状况以及各个子设备的运行状态，并自动显示自检结果。如有异常，系统将及时发出提示，确保设备安全可靠。</w:t>
            </w:r>
          </w:p>
          <w:p w14:paraId="24129C7F">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4.</w:t>
            </w:r>
            <w:r>
              <w:rPr>
                <w:rFonts w:hint="eastAsia" w:ascii="Times New Roman" w:hAnsi="Times New Roman" w:eastAsia="宋体" w:cs="Times New Roman"/>
                <w:sz w:val="20"/>
                <w:szCs w:val="20"/>
              </w:rPr>
              <w:tab/>
            </w:r>
            <w:r>
              <w:rPr>
                <w:rFonts w:hint="eastAsia" w:ascii="Times New Roman" w:hAnsi="Times New Roman" w:eastAsia="宋体" w:cs="Times New Roman"/>
                <w:sz w:val="20"/>
                <w:szCs w:val="20"/>
              </w:rPr>
              <w:t>PC端控制软件具备全面操控能力，能够调节实验工作台的高度、操控信号采集与处理系统的电源开关、设置动物呼吸机的关键参数、调节手术照明分布及亮度、控制摄像系统的光学变焦等，确保实验操作的流畅与高效。</w:t>
            </w:r>
          </w:p>
          <w:p w14:paraId="592F3A0E">
            <w:pPr>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七、虚拟标准病人案例</w:t>
            </w:r>
          </w:p>
          <w:p w14:paraId="066D50A2">
            <w:pPr>
              <w:jc w:val="left"/>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提供不低于3个常见疾病的虚拟标准病人案例，如</w:t>
            </w:r>
            <w:r>
              <w:rPr>
                <w:rFonts w:hint="eastAsia" w:ascii="Times New Roman" w:hAnsi="Times New Roman" w:eastAsia="宋体" w:cs="Times New Roman"/>
                <w:sz w:val="20"/>
                <w:szCs w:val="20"/>
              </w:rPr>
              <w:t>肺动脉高压</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sz w:val="20"/>
                <w:szCs w:val="20"/>
              </w:rPr>
              <w:t>肺水肿</w:t>
            </w:r>
            <w:r>
              <w:rPr>
                <w:rFonts w:hint="eastAsia" w:ascii="Times New Roman" w:hAnsi="Times New Roman" w:eastAsia="宋体" w:cs="Times New Roman"/>
                <w:sz w:val="20"/>
                <w:szCs w:val="20"/>
                <w:lang w:val="en-US" w:eastAsia="zh-CN"/>
              </w:rPr>
              <w:t>等</w:t>
            </w:r>
            <w:r>
              <w:rPr>
                <w:rFonts w:hint="eastAsia" w:ascii="Times New Roman" w:hAnsi="Times New Roman" w:eastAsia="宋体" w:cs="Times New Roman"/>
                <w:sz w:val="20"/>
                <w:szCs w:val="20"/>
              </w:rPr>
              <w:t>临床与基础整合性虚拟仿真实验</w:t>
            </w:r>
            <w:r>
              <w:rPr>
                <w:rFonts w:hint="eastAsia" w:ascii="Times New Roman" w:hAnsi="Times New Roman" w:eastAsia="宋体" w:cs="Times New Roman"/>
                <w:sz w:val="20"/>
                <w:szCs w:val="20"/>
                <w:lang w:eastAsia="zh-CN"/>
              </w:rPr>
              <w:t>。</w:t>
            </w:r>
          </w:p>
          <w:p w14:paraId="3EAF7D6D">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内容参数：通过三维建模技术、二维仿真动画技术</w:t>
            </w:r>
            <w:r>
              <w:rPr>
                <w:rFonts w:hint="eastAsia" w:ascii="Times New Roman" w:hAnsi="Times New Roman" w:eastAsia="宋体" w:cs="Times New Roman"/>
                <w:sz w:val="20"/>
                <w:szCs w:val="20"/>
                <w:lang w:val="en-US" w:eastAsia="zh-CN"/>
              </w:rPr>
              <w:t>展现</w:t>
            </w:r>
            <w:r>
              <w:rPr>
                <w:rFonts w:hint="eastAsia" w:ascii="Times New Roman" w:hAnsi="Times New Roman" w:eastAsia="宋体" w:cs="Times New Roman"/>
                <w:sz w:val="20"/>
                <w:szCs w:val="20"/>
              </w:rPr>
              <w:t>仿真模拟的病房场景，对</w:t>
            </w:r>
            <w:r>
              <w:rPr>
                <w:rFonts w:hint="eastAsia" w:ascii="Times New Roman" w:hAnsi="Times New Roman" w:eastAsia="宋体" w:cs="Times New Roman"/>
                <w:sz w:val="20"/>
                <w:szCs w:val="20"/>
                <w:lang w:val="en-US" w:eastAsia="zh-CN"/>
              </w:rPr>
              <w:t>相关疾病</w:t>
            </w:r>
            <w:r>
              <w:rPr>
                <w:rFonts w:hint="eastAsia" w:ascii="Times New Roman" w:hAnsi="Times New Roman" w:eastAsia="宋体" w:cs="Times New Roman"/>
                <w:sz w:val="20"/>
                <w:szCs w:val="20"/>
              </w:rPr>
              <w:t>诊治过程进行仿真模拟，</w:t>
            </w:r>
            <w:r>
              <w:rPr>
                <w:rFonts w:hint="eastAsia" w:ascii="Times New Roman" w:hAnsi="Times New Roman" w:eastAsia="宋体" w:cs="Times New Roman"/>
                <w:sz w:val="20"/>
                <w:szCs w:val="20"/>
                <w:lang w:val="en-US" w:eastAsia="zh-CN"/>
              </w:rPr>
              <w:t>能</w:t>
            </w:r>
            <w:r>
              <w:rPr>
                <w:rFonts w:hint="eastAsia" w:ascii="Times New Roman" w:hAnsi="Times New Roman" w:eastAsia="宋体" w:cs="Times New Roman"/>
                <w:sz w:val="20"/>
                <w:szCs w:val="20"/>
              </w:rPr>
              <w:t>通过PBL案例引入虚拟病人，基础知识巩固复习，最后完成虚拟病人诊治的流程化训练形式完成整个虚拟实验操作。使用者可通过点击诊疗流程进行操作，开展针对性的交互使用训练。同时，系统配以文字、图片、视频、音频等相关介绍，进行实验教学以及考核等实验教学工作。相关实验素材不少于20个，</w:t>
            </w:r>
            <w:r>
              <w:rPr>
                <w:rFonts w:hint="eastAsia" w:ascii="Times New Roman" w:hAnsi="Times New Roman" w:eastAsia="宋体" w:cs="Times New Roman"/>
                <w:sz w:val="20"/>
                <w:szCs w:val="20"/>
                <w:lang w:val="en-US" w:eastAsia="zh-CN"/>
              </w:rPr>
              <w:t>每个</w:t>
            </w:r>
            <w:r>
              <w:rPr>
                <w:rFonts w:hint="eastAsia" w:ascii="Times New Roman" w:hAnsi="Times New Roman" w:eastAsia="宋体" w:cs="Times New Roman"/>
                <w:sz w:val="20"/>
                <w:szCs w:val="20"/>
              </w:rPr>
              <w:t>项目包含：案例导入、基础知识、虚拟标准病人、知识考核与综合评定5大部分，交互性操作步骤不少于20步。</w:t>
            </w:r>
          </w:p>
          <w:p w14:paraId="1E6DC284">
            <w:pPr>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八、AI实验过程形成性评价系统</w:t>
            </w:r>
          </w:p>
          <w:p w14:paraId="28C0FE2D">
            <w:pPr>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1、智能化AI实验操作自动评价功能：系统集成AI技术，可以对家兔动脉血压调节实验（视频）的实时采样或反演过程中的操作步骤及实验结果实施自动评价。软件具备能自动调节摄像头光学倍数（1-20倍）的能力。评价内容涵盖：家兔捉拿、麻醉、绑定、备皮、气管插管以及动脉插管等关键步骤，确保实验操作的标准化和准确性。</w:t>
            </w:r>
            <w:r>
              <w:rPr>
                <w:rFonts w:hint="eastAsia" w:ascii="Times New Roman" w:hAnsi="Times New Roman" w:eastAsia="宋体" w:cs="Times New Roman"/>
                <w:kern w:val="0"/>
                <w:sz w:val="20"/>
                <w:szCs w:val="20"/>
                <w:highlight w:val="none"/>
              </w:rPr>
              <w:t>（提供AI智能形成性评价系统演示视频演示对家兔动脉血压调节实验（视频）的实时采样或反演过程中的操作步骤及实验结果实施自动评价。演示内容包含实验步骤：家兔捉拿、麻醉、绑定、备皮、气管插管以及动脉插管等关键步骤）</w:t>
            </w:r>
          </w:p>
          <w:p w14:paraId="423C9E89">
            <w:pPr>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2、AI实验助手功能：系统提供不低于60个实验课题的AI对话问答服务，其中聚焦模式可以精准回答相关课题内容，开放模式可提供更广泛的搜索内容，方便提升用户发散思维，支持两种模式任意切换，支持语音对话。</w:t>
            </w:r>
          </w:p>
          <w:p w14:paraId="3E7A2845">
            <w:pPr>
              <w:jc w:val="left"/>
              <w:rPr>
                <w:rFonts w:ascii="Times New Roman" w:hAnsi="Times New Roman" w:eastAsia="宋体" w:cs="Times New Roman"/>
                <w:b/>
                <w:bCs/>
                <w:kern w:val="0"/>
                <w:sz w:val="20"/>
                <w:szCs w:val="20"/>
                <w:highlight w:val="none"/>
              </w:rPr>
            </w:pPr>
            <w:r>
              <w:rPr>
                <w:rFonts w:hint="eastAsia" w:ascii="Times New Roman" w:hAnsi="Times New Roman" w:eastAsia="宋体" w:cs="Times New Roman"/>
                <w:b/>
                <w:bCs/>
                <w:kern w:val="0"/>
                <w:sz w:val="20"/>
                <w:szCs w:val="20"/>
                <w:highlight w:val="none"/>
              </w:rPr>
              <w:t>九、虚实结合实验：</w:t>
            </w:r>
          </w:p>
          <w:p w14:paraId="7E3570D2">
            <w:pPr>
              <w:jc w:val="left"/>
              <w:rPr>
                <w:rFonts w:hint="eastAsia" w:ascii="Times New Roman" w:hAnsi="Times New Roman" w:eastAsia="宋体" w:cs="Times New Roman"/>
                <w:sz w:val="20"/>
                <w:szCs w:val="20"/>
              </w:rPr>
            </w:pPr>
            <w:r>
              <w:rPr>
                <w:rFonts w:hint="eastAsia" w:ascii="Times New Roman" w:hAnsi="Times New Roman" w:eastAsia="宋体" w:cs="Times New Roman"/>
                <w:kern w:val="0"/>
                <w:sz w:val="20"/>
                <w:szCs w:val="20"/>
                <w:highlight w:val="none"/>
              </w:rPr>
              <w:t>1、软件具备直接连接至虚拟仿真实验中心的功能，用户可高效对接虚拟仿真实验项目，扩展实验教学内容，为学生展示更广泛的虚拟实验项目，丰富学习体验，提升实验操作技能。达到虚实结合实验教学手段（提供软件内置虚拟仿真实验教学软件功能演示40个机能学虚拟仿真课程资源）</w:t>
            </w:r>
          </w:p>
        </w:tc>
        <w:tc>
          <w:tcPr>
            <w:tcW w:w="1236" w:type="dxa"/>
            <w:vAlign w:val="center"/>
          </w:tcPr>
          <w:p w14:paraId="5090E7CF">
            <w:pPr>
              <w:jc w:val="center"/>
              <w:rPr>
                <w:rFonts w:ascii="Times New Roman" w:hAnsi="Times New Roman" w:eastAsia="宋体" w:cs="Times New Roman"/>
                <w:sz w:val="24"/>
                <w:szCs w:val="24"/>
              </w:rPr>
            </w:pPr>
          </w:p>
        </w:tc>
        <w:tc>
          <w:tcPr>
            <w:tcW w:w="1103" w:type="dxa"/>
            <w:tcBorders/>
            <w:vAlign w:val="center"/>
          </w:tcPr>
          <w:p w14:paraId="3DD85D35">
            <w:pPr>
              <w:jc w:val="center"/>
              <w:rPr>
                <w:rFonts w:hint="eastAsia" w:ascii="Times New Roman" w:hAnsi="Times New Roman" w:eastAsia="宋体" w:cs="Times New Roman"/>
                <w:sz w:val="24"/>
                <w:szCs w:val="24"/>
                <w:lang w:val="en-US" w:eastAsia="zh-CN"/>
              </w:rPr>
            </w:pPr>
          </w:p>
        </w:tc>
        <w:tc>
          <w:tcPr>
            <w:tcW w:w="981" w:type="dxa"/>
            <w:vAlign w:val="center"/>
          </w:tcPr>
          <w:p w14:paraId="6219D92C">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w:t>
            </w:r>
          </w:p>
        </w:tc>
        <w:tc>
          <w:tcPr>
            <w:tcW w:w="975" w:type="dxa"/>
            <w:vAlign w:val="center"/>
          </w:tcPr>
          <w:p w14:paraId="14AD592F">
            <w:pPr>
              <w:jc w:val="center"/>
              <w:rPr>
                <w:rFonts w:ascii="Times New Roman" w:hAnsi="Times New Roman" w:eastAsia="宋体" w:cs="Times New Roman"/>
                <w:sz w:val="24"/>
                <w:szCs w:val="24"/>
              </w:rPr>
            </w:pPr>
          </w:p>
        </w:tc>
      </w:tr>
      <w:tr w14:paraId="5A8F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59" w:hRule="atLeast"/>
          <w:jc w:val="center"/>
        </w:trPr>
        <w:tc>
          <w:tcPr>
            <w:tcW w:w="895" w:type="dxa"/>
            <w:vAlign w:val="center"/>
          </w:tcPr>
          <w:p w14:paraId="1E69ABC5">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c>
          <w:tcPr>
            <w:tcW w:w="1275" w:type="dxa"/>
            <w:vAlign w:val="center"/>
          </w:tcPr>
          <w:p w14:paraId="4E5BE1B8">
            <w:pPr>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机能学虚拟仿真实验系统（包含40个机能学虚拟仿真课程资源）</w:t>
            </w:r>
          </w:p>
        </w:tc>
        <w:tc>
          <w:tcPr>
            <w:tcW w:w="7913" w:type="dxa"/>
            <w:vAlign w:val="center"/>
          </w:tcPr>
          <w:p w14:paraId="1A3F4A35">
            <w:pPr>
              <w:jc w:val="left"/>
              <w:rPr>
                <w:rFonts w:hint="eastAsia" w:ascii="Times New Roman" w:hAnsi="Times New Roman" w:eastAsia="宋体" w:cs="Times New Roman"/>
                <w:sz w:val="20"/>
                <w:szCs w:val="20"/>
              </w:rPr>
            </w:pPr>
            <w:r>
              <w:rPr>
                <w:rFonts w:hint="eastAsia" w:ascii="宋体" w:hAnsi="宋体" w:eastAsia="宋体" w:cs="宋体"/>
                <w:b/>
                <w:bCs/>
                <w:color w:val="000000"/>
                <w:sz w:val="20"/>
                <w:szCs w:val="20"/>
                <w:lang w:bidi="ar"/>
              </w:rPr>
              <w:t>一、虚拟课件技术参数</w:t>
            </w:r>
            <w:r>
              <w:rPr>
                <w:rFonts w:hint="eastAsia" w:ascii="宋体" w:hAnsi="宋体" w:eastAsia="宋体" w:cs="宋体"/>
                <w:color w:val="000000"/>
                <w:sz w:val="20"/>
                <w:szCs w:val="20"/>
                <w:lang w:bidi="ar"/>
              </w:rPr>
              <w:br w:type="textWrapping"/>
            </w:r>
            <w:r>
              <w:rPr>
                <w:rFonts w:hint="eastAsia" w:ascii="Times New Roman" w:hAnsi="Times New Roman" w:eastAsia="宋体" w:cs="Times New Roman"/>
                <w:sz w:val="20"/>
                <w:szCs w:val="20"/>
              </w:rPr>
              <w:t>1.支持PC、手机等移动端全功能访问，课件设计符合手机横屏操作要求。课件载入和显示时间小于5秒。（现场手机演示虚拟仿真实验操作展示不低于40个机能学虚拟仿真实验资源）</w:t>
            </w:r>
            <w:r>
              <w:rPr>
                <w:rFonts w:hint="eastAsia" w:ascii="Times New Roman" w:hAnsi="Times New Roman" w:eastAsia="宋体" w:cs="Times New Roman"/>
                <w:sz w:val="20"/>
                <w:szCs w:val="20"/>
              </w:rPr>
              <w:br w:type="textWrapping"/>
            </w:r>
            <w:r>
              <w:rPr>
                <w:rFonts w:hint="eastAsia" w:ascii="Times New Roman" w:hAnsi="Times New Roman" w:eastAsia="宋体" w:cs="Times New Roman"/>
                <w:sz w:val="20"/>
                <w:szCs w:val="20"/>
              </w:rPr>
              <w:t>2.有字幕语音解说，可以切换关闭。</w:t>
            </w:r>
            <w:r>
              <w:rPr>
                <w:rFonts w:hint="eastAsia" w:ascii="Times New Roman" w:hAnsi="Times New Roman" w:eastAsia="宋体" w:cs="Times New Roman"/>
                <w:sz w:val="20"/>
                <w:szCs w:val="20"/>
              </w:rPr>
              <w:br w:type="textWrapping"/>
            </w:r>
            <w:r>
              <w:rPr>
                <w:rFonts w:hint="eastAsia" w:ascii="Times New Roman" w:hAnsi="Times New Roman" w:eastAsia="宋体" w:cs="Times New Roman"/>
                <w:sz w:val="20"/>
                <w:szCs w:val="20"/>
              </w:rPr>
              <w:t>3.实验模块支持在线访问，无需下载客户端。</w:t>
            </w:r>
            <w:r>
              <w:rPr>
                <w:rFonts w:hint="eastAsia" w:ascii="Times New Roman" w:hAnsi="Times New Roman" w:eastAsia="宋体" w:cs="Times New Roman"/>
                <w:sz w:val="20"/>
                <w:szCs w:val="20"/>
              </w:rPr>
              <w:br w:type="textWrapping"/>
            </w:r>
            <w:r>
              <w:rPr>
                <w:rFonts w:hint="eastAsia" w:ascii="Times New Roman" w:hAnsi="Times New Roman" w:eastAsia="宋体" w:cs="Times New Roman"/>
                <w:sz w:val="20"/>
                <w:szCs w:val="20"/>
              </w:rPr>
              <w:t>4.实验结果波形采用真实数据实时模拟，演示仪器设备连接，标本反应动画随波形同步。</w:t>
            </w:r>
            <w:r>
              <w:rPr>
                <w:rFonts w:hint="eastAsia" w:ascii="Times New Roman" w:hAnsi="Times New Roman" w:eastAsia="宋体" w:cs="Times New Roman"/>
                <w:sz w:val="20"/>
                <w:szCs w:val="20"/>
              </w:rPr>
              <w:br w:type="textWrapping"/>
            </w:r>
            <w:r>
              <w:rPr>
                <w:rFonts w:hint="eastAsia" w:ascii="Times New Roman" w:hAnsi="Times New Roman" w:eastAsia="宋体" w:cs="Times New Roman"/>
                <w:sz w:val="20"/>
                <w:szCs w:val="20"/>
              </w:rPr>
              <w:t>5.课件内含高清视频展示，每个实验步骤配有演示动画，播放流畅。</w:t>
            </w:r>
            <w:r>
              <w:rPr>
                <w:rFonts w:hint="eastAsia" w:ascii="Times New Roman" w:hAnsi="Times New Roman" w:eastAsia="宋体" w:cs="Times New Roman"/>
                <w:sz w:val="20"/>
                <w:szCs w:val="20"/>
              </w:rPr>
              <w:br w:type="textWrapping"/>
            </w:r>
            <w:r>
              <w:rPr>
                <w:rFonts w:hint="eastAsia" w:ascii="Times New Roman" w:hAnsi="Times New Roman" w:eastAsia="宋体" w:cs="Times New Roman"/>
                <w:sz w:val="20"/>
                <w:szCs w:val="20"/>
              </w:rPr>
              <w:t>6.支持中英文字幕和中英文配音一键切换，满足学生外语扩展或双语教学需求。</w:t>
            </w:r>
            <w:r>
              <w:rPr>
                <w:rFonts w:hint="eastAsia" w:ascii="Times New Roman" w:hAnsi="Times New Roman" w:eastAsia="宋体" w:cs="Times New Roman"/>
                <w:sz w:val="20"/>
                <w:szCs w:val="20"/>
              </w:rPr>
              <w:br w:type="textWrapping"/>
            </w:r>
            <w:r>
              <w:rPr>
                <w:rFonts w:hint="eastAsia" w:ascii="Times New Roman" w:hAnsi="Times New Roman" w:eastAsia="宋体" w:cs="Times New Roman"/>
                <w:sz w:val="20"/>
                <w:szCs w:val="20"/>
              </w:rPr>
              <w:t>7.按实验步骤问题计分，完成实验后支持在线查看结果，支持生成PDF格式实验报告。在线学习结果颁发证书功能，可检查学生学习是否通过，学习时间和成绩。</w:t>
            </w:r>
            <w:r>
              <w:rPr>
                <w:rFonts w:hint="eastAsia" w:ascii="Times New Roman" w:hAnsi="Times New Roman" w:eastAsia="宋体" w:cs="Times New Roman"/>
                <w:sz w:val="20"/>
                <w:szCs w:val="20"/>
              </w:rPr>
              <w:br w:type="textWrapping"/>
            </w:r>
            <w:r>
              <w:rPr>
                <w:rFonts w:hint="eastAsia" w:ascii="Times New Roman" w:hAnsi="Times New Roman" w:eastAsia="宋体" w:cs="Times New Roman"/>
                <w:sz w:val="20"/>
                <w:szCs w:val="20"/>
              </w:rPr>
              <w:t>8.实验模块可无缝对接虚拟平台，课件可记录用户的学习时长，以及最近一次的学习成绩，数据共享，学生完成学习后可导出统计学数据，生成形成性评价。</w:t>
            </w:r>
            <w:r>
              <w:rPr>
                <w:rFonts w:hint="eastAsia" w:ascii="Times New Roman" w:hAnsi="Times New Roman" w:eastAsia="宋体" w:cs="Times New Roman"/>
                <w:sz w:val="20"/>
                <w:szCs w:val="20"/>
              </w:rPr>
              <w:br w:type="textWrapping"/>
            </w:r>
            <w:r>
              <w:rPr>
                <w:rFonts w:hint="eastAsia" w:ascii="Times New Roman" w:hAnsi="Times New Roman" w:eastAsia="宋体" w:cs="Times New Roman"/>
                <w:sz w:val="20"/>
                <w:szCs w:val="20"/>
              </w:rPr>
              <w:t>9.课件技术规范完全符合国际共享参考模型SCORM1.2的标准格式，符合所有支持SCORM平台获取学习成绩和过程记录等功能。</w:t>
            </w:r>
          </w:p>
          <w:p w14:paraId="02F7E184">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10. 实验报告：能够提供实时生成的学生知识点交互问题回答情况，包括学生答案和正确参考答案对照，提供生成和下载PDF格式实验报告文件。</w:t>
            </w:r>
          </w:p>
          <w:p w14:paraId="5BE0BC46">
            <w:pPr>
              <w:widowControl/>
              <w:snapToGrid w:val="0"/>
              <w:jc w:val="left"/>
              <w:textAlignment w:val="center"/>
              <w:rPr>
                <w:rFonts w:hint="eastAsia" w:ascii="宋体" w:hAnsi="宋体" w:eastAsia="宋体" w:cs="宋体"/>
                <w:b/>
                <w:bCs/>
                <w:color w:val="000000"/>
                <w:sz w:val="20"/>
                <w:szCs w:val="20"/>
                <w:lang w:bidi="ar"/>
              </w:rPr>
            </w:pPr>
            <w:r>
              <w:rPr>
                <w:rFonts w:hint="eastAsia" w:ascii="宋体" w:hAnsi="宋体" w:eastAsia="宋体" w:cs="宋体"/>
                <w:b/>
                <w:bCs/>
                <w:color w:val="000000"/>
                <w:sz w:val="20"/>
                <w:szCs w:val="20"/>
                <w:lang w:bidi="ar"/>
              </w:rPr>
              <w:t>二、虚拟资源参数</w:t>
            </w:r>
          </w:p>
          <w:p w14:paraId="1822F405">
            <w:pPr>
              <w:jc w:val="left"/>
              <w:rPr>
                <w:rFonts w:hint="eastAsia" w:ascii="Times New Roman" w:hAnsi="Times New Roman" w:eastAsia="宋体" w:cs="Times New Roman"/>
                <w:kern w:val="0"/>
                <w:sz w:val="20"/>
                <w:szCs w:val="20"/>
                <w:highlight w:val="none"/>
                <w:lang w:val="en-US" w:eastAsia="zh-CN"/>
              </w:rPr>
            </w:pPr>
            <w:r>
              <w:rPr>
                <w:rFonts w:hint="eastAsia" w:ascii="Times New Roman" w:hAnsi="Times New Roman" w:eastAsia="宋体" w:cs="Times New Roman"/>
                <w:kern w:val="0"/>
                <w:sz w:val="20"/>
                <w:szCs w:val="20"/>
                <w:highlight w:val="none"/>
                <w:lang w:val="en-US" w:eastAsia="zh-CN"/>
              </w:rPr>
              <w:t>需包含不少于40个虚拟仿真项目，其内容需包含以下：</w:t>
            </w:r>
          </w:p>
          <w:p w14:paraId="49872402">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1刺激频率与骨骼肌收缩的关系</w:t>
            </w:r>
          </w:p>
          <w:p w14:paraId="181DD0CA">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2刺激强度与骨骼肌收缩的关系</w:t>
            </w:r>
          </w:p>
          <w:p w14:paraId="31252794">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3骨骼肌终板电位的测定与观察</w:t>
            </w:r>
          </w:p>
          <w:p w14:paraId="439A8A81">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4去大脑僵直</w:t>
            </w:r>
          </w:p>
          <w:p w14:paraId="03022FC4">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5家兔血压调节</w:t>
            </w:r>
          </w:p>
          <w:p w14:paraId="03D67EEB">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6离体蛙心灌流</w:t>
            </w:r>
          </w:p>
          <w:p w14:paraId="7EDCDC85">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7家兔呼吸运动的调节</w:t>
            </w:r>
          </w:p>
          <w:p w14:paraId="11211D03">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8胸膜腔负压的观察</w:t>
            </w:r>
          </w:p>
          <w:p w14:paraId="7EAE0566">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9以动物假饲模型为基础的胃液分泌调节</w:t>
            </w:r>
          </w:p>
          <w:p w14:paraId="6E11C282">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10影响尿液生成的因素</w:t>
            </w:r>
          </w:p>
          <w:p w14:paraId="0A4C92C5">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11 动作电位的测量及其影响因素</w:t>
            </w:r>
          </w:p>
          <w:p w14:paraId="4F576B59">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12静息电位的测量及其影响因素</w:t>
            </w:r>
          </w:p>
          <w:p w14:paraId="282CD617">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13强迫游泳与睡眠剥夺试验</w:t>
            </w:r>
          </w:p>
          <w:p w14:paraId="10A5DDEC">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14心肌缺血再灌注损伤模型的建立</w:t>
            </w:r>
          </w:p>
          <w:p w14:paraId="2091B8F1">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15氧化应激在肝缺血-再灌注损伤中的作用</w:t>
            </w:r>
          </w:p>
          <w:p w14:paraId="6E741EA5">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16氨在肝性脑病发病中的作用</w:t>
            </w:r>
          </w:p>
          <w:p w14:paraId="10BFBBAC">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17急性肾功能衰竭模型制备及检测</w:t>
            </w:r>
          </w:p>
          <w:p w14:paraId="5B7AA9EB">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18急性右心衰竭</w:t>
            </w:r>
          </w:p>
          <w:p w14:paraId="594E7591">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19家兔DIC模型复制及其血液学指标的观察</w:t>
            </w:r>
          </w:p>
          <w:p w14:paraId="42798C39">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20家兔高钾血症及治疗</w:t>
            </w:r>
          </w:p>
          <w:p w14:paraId="160C61AE">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21家兔急性心力衰竭及药物的干预</w:t>
            </w:r>
          </w:p>
          <w:p w14:paraId="5B352C53">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22缺氧中血红蛋白性质的定量分析</w:t>
            </w:r>
          </w:p>
          <w:p w14:paraId="7FFE4252">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23小鼠动脉粥样硬化斑块破裂模型建立</w:t>
            </w:r>
          </w:p>
          <w:p w14:paraId="10A46F3D">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24小鼠脑缺血再灌注损伤模型的制备虚拟仿真实验</w:t>
            </w:r>
          </w:p>
          <w:p w14:paraId="74FE1BA8">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25肿瘤动物模型的建立及荷瘤小鼠的病理学检测</w:t>
            </w:r>
          </w:p>
          <w:p w14:paraId="7B135AEE">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26过敏性休克</w:t>
            </w:r>
          </w:p>
          <w:p w14:paraId="293E208A">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27吗啡对呼吸的抑制和解救</w:t>
            </w:r>
          </w:p>
          <w:p w14:paraId="4386FAA9">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28药物对离体肠管的作用</w:t>
            </w:r>
          </w:p>
          <w:p w14:paraId="5BF7F74D">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29胰岛素的过量反应及其解救</w:t>
            </w:r>
          </w:p>
          <w:p w14:paraId="11F69D67">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30海洛因成瘾大鼠模型构建及其觅药行为干预</w:t>
            </w:r>
          </w:p>
          <w:p w14:paraId="71463E6B">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31药物对动物学习记忆功能的影响(小鼠跳台法）</w:t>
            </w:r>
          </w:p>
          <w:p w14:paraId="12AEFEA5">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32地西泮的抗惊厥作用</w:t>
            </w:r>
          </w:p>
          <w:p w14:paraId="7FD394A1">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33镇痛药的镇痛效果-扭体法</w:t>
            </w:r>
          </w:p>
          <w:p w14:paraId="5F11E81C">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34地塞米松对实验性大鼠足趾肿胀的抗炎作用</w:t>
            </w:r>
          </w:p>
          <w:p w14:paraId="5D8DAA76">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35苯海拉明药效实验</w:t>
            </w:r>
          </w:p>
          <w:p w14:paraId="6F4E50B7">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36利多卡因对氯化钡诱发的大鼠心率失常的保护作用</w:t>
            </w:r>
          </w:p>
          <w:p w14:paraId="610391DC">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37硫酸链霉素的毒性反应及氯化钙的对抗作用</w:t>
            </w:r>
          </w:p>
          <w:p w14:paraId="10D4583D">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38药物急性毒性实验</w:t>
            </w:r>
          </w:p>
          <w:p w14:paraId="17EF0BC0">
            <w:pPr>
              <w:jc w:val="left"/>
              <w:rPr>
                <w:rFonts w:hint="eastAsia"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39肝肾功能状态对血药浓度的影响</w:t>
            </w:r>
          </w:p>
          <w:p w14:paraId="57AA4D11">
            <w:pPr>
              <w:jc w:val="left"/>
              <w:rPr>
                <w:rFonts w:hint="eastAsia" w:ascii="Times New Roman" w:hAnsi="Times New Roman" w:eastAsia="宋体" w:cs="Times New Roman"/>
                <w:sz w:val="24"/>
                <w:szCs w:val="24"/>
              </w:rPr>
            </w:pPr>
            <w:r>
              <w:rPr>
                <w:rFonts w:hint="eastAsia" w:ascii="Times New Roman" w:hAnsi="Times New Roman" w:eastAsia="宋体" w:cs="Times New Roman"/>
                <w:kern w:val="0"/>
                <w:sz w:val="20"/>
                <w:szCs w:val="20"/>
                <w:highlight w:val="none"/>
              </w:rPr>
              <w:t>40量效曲线</w:t>
            </w:r>
          </w:p>
        </w:tc>
        <w:tc>
          <w:tcPr>
            <w:tcW w:w="1236" w:type="dxa"/>
            <w:vAlign w:val="center"/>
          </w:tcPr>
          <w:p w14:paraId="1B3E5CED">
            <w:pPr>
              <w:jc w:val="center"/>
              <w:rPr>
                <w:rFonts w:hint="eastAsia" w:ascii="Times New Roman" w:hAnsi="Times New Roman" w:eastAsia="宋体" w:cs="Times New Roman"/>
                <w:sz w:val="24"/>
                <w:szCs w:val="24"/>
                <w:lang w:val="en-US" w:eastAsia="zh-CN"/>
              </w:rPr>
            </w:pPr>
          </w:p>
        </w:tc>
        <w:tc>
          <w:tcPr>
            <w:tcW w:w="1103" w:type="dxa"/>
            <w:vAlign w:val="center"/>
          </w:tcPr>
          <w:p w14:paraId="53992955">
            <w:pPr>
              <w:jc w:val="center"/>
              <w:rPr>
                <w:rFonts w:hint="eastAsia" w:ascii="Times New Roman" w:hAnsi="Times New Roman" w:eastAsia="宋体" w:cs="Times New Roman"/>
                <w:sz w:val="24"/>
                <w:szCs w:val="24"/>
                <w:lang w:val="en-US" w:eastAsia="zh-CN"/>
              </w:rPr>
            </w:pPr>
          </w:p>
        </w:tc>
        <w:tc>
          <w:tcPr>
            <w:tcW w:w="981" w:type="dxa"/>
            <w:vAlign w:val="center"/>
          </w:tcPr>
          <w:p w14:paraId="0C2DA04D">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975" w:type="dxa"/>
            <w:vAlign w:val="center"/>
          </w:tcPr>
          <w:p w14:paraId="19E939D8">
            <w:pPr>
              <w:jc w:val="center"/>
              <w:rPr>
                <w:rFonts w:hint="eastAsia" w:ascii="Times New Roman" w:hAnsi="Times New Roman" w:eastAsia="宋体" w:cs="Times New Roman"/>
                <w:sz w:val="24"/>
                <w:szCs w:val="24"/>
                <w:lang w:val="en-US" w:eastAsia="zh-CN"/>
              </w:rPr>
            </w:pPr>
          </w:p>
        </w:tc>
      </w:tr>
      <w:tr w14:paraId="58DF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59" w:hRule="atLeast"/>
          <w:jc w:val="center"/>
        </w:trPr>
        <w:tc>
          <w:tcPr>
            <w:tcW w:w="14378" w:type="dxa"/>
            <w:gridSpan w:val="7"/>
            <w:vAlign w:val="center"/>
          </w:tcPr>
          <w:p w14:paraId="37DD9A80">
            <w:pPr>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报价（盖章）：</w:t>
            </w:r>
          </w:p>
        </w:tc>
      </w:tr>
    </w:tbl>
    <w:p w14:paraId="17CE9EB3">
      <w:pPr>
        <w:ind w:firstLine="400" w:firstLineChars="200"/>
        <w:jc w:val="left"/>
        <w:rPr>
          <w:rFonts w:hint="eastAsia" w:ascii="方正小标宋简体" w:hAnsi="Times New Roman" w:eastAsia="方正小标宋简体" w:cs="Times New Roman"/>
          <w:sz w:val="40"/>
          <w:szCs w:val="32"/>
        </w:rPr>
      </w:pPr>
      <w:r>
        <w:rPr>
          <w:rFonts w:hint="eastAsia" w:ascii="Times New Roman" w:hAnsi="Times New Roman" w:eastAsia="宋体" w:cs="Times New Roman"/>
          <w:kern w:val="0"/>
          <w:sz w:val="20"/>
          <w:szCs w:val="20"/>
          <w:highlight w:val="none"/>
        </w:rPr>
        <w:t>本项目各分项报价均为含税全费用价格，已包含但不限于税金、管理费、人工费、运输费、利润、风险费等完成本项目全部工作内容所需的一切费用</w:t>
      </w:r>
      <w:r>
        <w:rPr>
          <w:rFonts w:hint="eastAsia" w:ascii="Times New Roman" w:hAnsi="Times New Roman" w:eastAsia="宋体" w:cs="Times New Roman"/>
          <w:kern w:val="0"/>
          <w:sz w:val="20"/>
          <w:szCs w:val="20"/>
          <w:highlight w:val="none"/>
          <w:lang w:eastAsia="zh-CN"/>
        </w:rPr>
        <w:t>。</w:t>
      </w:r>
      <w:bookmarkStart w:id="0" w:name="_GoBack"/>
      <w:bookmarkEnd w:id="0"/>
    </w:p>
    <w:p w14:paraId="162315EF">
      <w:pPr>
        <w:jc w:val="center"/>
        <w:rPr>
          <w:rFonts w:hint="eastAsia" w:ascii="方正小标宋简体" w:hAnsi="Times New Roman" w:eastAsia="方正小标宋简体" w:cs="Times New Roman"/>
          <w:sz w:val="40"/>
          <w:szCs w:val="32"/>
        </w:rPr>
      </w:pPr>
    </w:p>
    <w:p w14:paraId="5541C64A">
      <w:pPr>
        <w:rPr>
          <w:rFonts w:ascii="仿宋_GB2312" w:hAnsi="Times New Roman" w:eastAsia="仿宋_GB2312" w:cs="Times New Roman"/>
          <w:sz w:val="32"/>
          <w:szCs w:val="32"/>
        </w:rPr>
      </w:pPr>
    </w:p>
    <w:sectPr>
      <w:footerReference r:id="rId3" w:type="default"/>
      <w:pgSz w:w="16838" w:h="11906" w:orient="landscape"/>
      <w:pgMar w:top="1236" w:right="709" w:bottom="1236" w:left="709"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001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9BB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71A7E">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yLIJ6LgIAAFIEAAAOAAAAZHJzL2Uyb0RvYy54bWytVMtuEzEU3SPx&#10;D5b3ZJKUlhJlUoVGQUgRrRQQa8fjyYzkl2wnM+ED4A9YdcOe78p3cOzJpKiw6IKNc+e+z7n3ZnrT&#10;Kkn2wvna6JyOBkNKhOamqPU2p58/LV9dU+ID0wWTRoucHoSnN7OXL6aNnYixqYwshCNIov2ksTmt&#10;QrCTLPO8Eor5gbFCw1gap1jAp9tmhWMNsiuZjYfDq6wxrrDOcOE9tIvOSE8Z3XMSmrKsuVgYvlNC&#10;hy6rE5IFQPJVbT2dpW7LUvBwV5ZeBCJzCqQhvSgCeRPfbDZlk61jtqr5qQX2nBaeYFKs1ih6TrVg&#10;gZGdq/9KpWrujDdlGHCjsg5IYgQoRsMn3KwrZkXCAqq9PZPu/19a/nF/70hd5HRMiWYKAz/++H58&#10;+HX8+Y2MIz2N9RN4rS38QvvOtFiaXu+hjKjb0qn4CzwEdpB7OJMr2kA4lJfXr8cwcFhGF2/fDBP3&#10;2WOsdT68F0aRKOTUYXSJUbZf+YA+4Nq7xFLaLGsp0/ikJk1Ory4uhyngbEGE1AiMCLpOoxTaTXuC&#10;tTHFAaic6dbCW76sUXzFfLhnDnuAfnEp4Q5PKQ2KmJNESWXc13/poz/GAyslDfYqpxpnRIn8oDE2&#10;JAy94Hph0wt6p24NFnWEC7Q8iQhwQfZi6Yz6gvOZxxowMc1RKaehF29Dt9s4Py7m8+SERbMsrPTa&#10;8pg6kuftfBdAYOI1ktIxceIKq5boPp1F3OU/v5PX41/B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MiyCei4CAABSBAAADgAAAAAAAAABACAAAAAgAQAAZHJzL2Uyb0RvYy54bWxQSwUGAAAA&#10;AAYABgBZAQAAwAUAAAAA&#10;">
              <v:fill on="f" focussize="0,0"/>
              <v:stroke on="f" weight="0.5pt"/>
              <v:imagedata o:title=""/>
              <o:lock v:ext="edit" aspectratio="f"/>
              <v:textbox inset="0mm,0mm,0mm,0mm" style="mso-fit-shape-to-text:t;">
                <w:txbxContent>
                  <w:p w14:paraId="04771A7E">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997B6"/>
    <w:multiLevelType w:val="singleLevel"/>
    <w:tmpl w:val="862997B6"/>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78"/>
    <w:rsid w:val="000629E2"/>
    <w:rsid w:val="000771F8"/>
    <w:rsid w:val="000C0C39"/>
    <w:rsid w:val="000F7762"/>
    <w:rsid w:val="00112713"/>
    <w:rsid w:val="00121CD6"/>
    <w:rsid w:val="0014772F"/>
    <w:rsid w:val="001F6202"/>
    <w:rsid w:val="00212CA1"/>
    <w:rsid w:val="00213922"/>
    <w:rsid w:val="00222462"/>
    <w:rsid w:val="002250BB"/>
    <w:rsid w:val="002469D7"/>
    <w:rsid w:val="00295590"/>
    <w:rsid w:val="002D099D"/>
    <w:rsid w:val="002F1CC2"/>
    <w:rsid w:val="002F63DE"/>
    <w:rsid w:val="00326A42"/>
    <w:rsid w:val="003817D6"/>
    <w:rsid w:val="003858DA"/>
    <w:rsid w:val="003B2AC8"/>
    <w:rsid w:val="004005B5"/>
    <w:rsid w:val="004722EE"/>
    <w:rsid w:val="00473DAB"/>
    <w:rsid w:val="00494061"/>
    <w:rsid w:val="00496BB7"/>
    <w:rsid w:val="004B3061"/>
    <w:rsid w:val="004C2B90"/>
    <w:rsid w:val="004D3245"/>
    <w:rsid w:val="004D3F19"/>
    <w:rsid w:val="0051795F"/>
    <w:rsid w:val="00543E06"/>
    <w:rsid w:val="005B0603"/>
    <w:rsid w:val="00625D92"/>
    <w:rsid w:val="00665D5C"/>
    <w:rsid w:val="006A12F9"/>
    <w:rsid w:val="00732050"/>
    <w:rsid w:val="00766D8C"/>
    <w:rsid w:val="0077410C"/>
    <w:rsid w:val="007B2C22"/>
    <w:rsid w:val="00812BC3"/>
    <w:rsid w:val="008215CE"/>
    <w:rsid w:val="00856CE8"/>
    <w:rsid w:val="00862B9A"/>
    <w:rsid w:val="0089356F"/>
    <w:rsid w:val="008A730A"/>
    <w:rsid w:val="008E3D86"/>
    <w:rsid w:val="008E7493"/>
    <w:rsid w:val="0091261E"/>
    <w:rsid w:val="0095117F"/>
    <w:rsid w:val="009642B3"/>
    <w:rsid w:val="00964512"/>
    <w:rsid w:val="00987CBE"/>
    <w:rsid w:val="009A2949"/>
    <w:rsid w:val="009F731D"/>
    <w:rsid w:val="00A11B3A"/>
    <w:rsid w:val="00A36195"/>
    <w:rsid w:val="00A56E4A"/>
    <w:rsid w:val="00AA1E7B"/>
    <w:rsid w:val="00B40478"/>
    <w:rsid w:val="00C02547"/>
    <w:rsid w:val="00C102C5"/>
    <w:rsid w:val="00C532F2"/>
    <w:rsid w:val="00CA420B"/>
    <w:rsid w:val="00CB4485"/>
    <w:rsid w:val="00CD1A62"/>
    <w:rsid w:val="00D039D7"/>
    <w:rsid w:val="00D53E9F"/>
    <w:rsid w:val="00DD290C"/>
    <w:rsid w:val="00DF3DB5"/>
    <w:rsid w:val="00E21A7C"/>
    <w:rsid w:val="00E5053B"/>
    <w:rsid w:val="00E54795"/>
    <w:rsid w:val="00EA580E"/>
    <w:rsid w:val="00ED0E6B"/>
    <w:rsid w:val="00F32F44"/>
    <w:rsid w:val="00F62668"/>
    <w:rsid w:val="00FA0995"/>
    <w:rsid w:val="00FA0D1F"/>
    <w:rsid w:val="00FF494A"/>
    <w:rsid w:val="0AD727AC"/>
    <w:rsid w:val="0BAF1E6E"/>
    <w:rsid w:val="15E2587E"/>
    <w:rsid w:val="17033CFE"/>
    <w:rsid w:val="19AB4E2A"/>
    <w:rsid w:val="1A1324AA"/>
    <w:rsid w:val="204B1825"/>
    <w:rsid w:val="21150CB8"/>
    <w:rsid w:val="2459012A"/>
    <w:rsid w:val="250147AD"/>
    <w:rsid w:val="25A0143C"/>
    <w:rsid w:val="285908BE"/>
    <w:rsid w:val="299B6018"/>
    <w:rsid w:val="2B33475A"/>
    <w:rsid w:val="2C374C20"/>
    <w:rsid w:val="2FBB2F70"/>
    <w:rsid w:val="34386EC4"/>
    <w:rsid w:val="359C4521"/>
    <w:rsid w:val="39DD3B21"/>
    <w:rsid w:val="3EF931B9"/>
    <w:rsid w:val="40F02E0C"/>
    <w:rsid w:val="448160DE"/>
    <w:rsid w:val="456F0E27"/>
    <w:rsid w:val="45B44292"/>
    <w:rsid w:val="46117693"/>
    <w:rsid w:val="486065EE"/>
    <w:rsid w:val="48E44E8E"/>
    <w:rsid w:val="49CC0E0D"/>
    <w:rsid w:val="4CA86C83"/>
    <w:rsid w:val="54D231E9"/>
    <w:rsid w:val="57974A45"/>
    <w:rsid w:val="58823EEE"/>
    <w:rsid w:val="5CB0398D"/>
    <w:rsid w:val="5DC87090"/>
    <w:rsid w:val="5F7268F8"/>
    <w:rsid w:val="69885DDA"/>
    <w:rsid w:val="6A1E25B4"/>
    <w:rsid w:val="6AE26AF4"/>
    <w:rsid w:val="6E8B1784"/>
    <w:rsid w:val="6F587AE3"/>
    <w:rsid w:val="715B73D4"/>
    <w:rsid w:val="74E36471"/>
    <w:rsid w:val="76C715AC"/>
    <w:rsid w:val="78F653DE"/>
    <w:rsid w:val="798E528A"/>
    <w:rsid w:val="7C684E70"/>
    <w:rsid w:val="7D486B61"/>
    <w:rsid w:val="7DE30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8"/>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6036</Words>
  <Characters>6458</Characters>
  <Lines>184</Lines>
  <Paragraphs>87</Paragraphs>
  <TotalTime>1083</TotalTime>
  <ScaleCrop>false</ScaleCrop>
  <LinksUpToDate>false</LinksUpToDate>
  <CharactersWithSpaces>6526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2021-11-24T00:20:00Z</dcterms:created>
  <dc:creator>翟新博</dc:creator>
  <cp:lastModifiedBy>喊我刘肉肉</cp:lastModifiedBy>
  <cp:lastPrinted>2025-11-10T03:08:00Z</cp:lastPrinted>
  <dcterms:modified xsi:type="dcterms:W3CDTF">2026-03-02T02:21:04Z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76A712CCA9174692A70196E3A48ACD76_13</vt:lpwstr>
  </property>
  <property fmtid="{D5CDD505-2E9C-101B-9397-08002B2CF9AE}" pid="4" name="KSOTemplateDocerSaveRecord">
    <vt:lpwstr>eyJoZGlkIjoiNThjZjJlMDA4NjZmMDQ5MjllMjFmYWMxOWZhZTM2NjkiLCJ1c2VySWQiOiI1MDQ4NDY1NTkifQ==</vt:lpwstr>
  </property>
</Properties>
</file>