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B9ED">
      <w:pPr>
        <w:jc w:val="left"/>
        <w:rPr>
          <w:rFonts w:hint="default" w:eastAsia="宋体"/>
          <w:b/>
          <w:bCs/>
          <w:sz w:val="32"/>
          <w:szCs w:val="32"/>
          <w:lang w:val="en-US" w:eastAsia="zh-CN"/>
        </w:rPr>
      </w:pPr>
      <w:r>
        <w:rPr>
          <w:rFonts w:hint="eastAsia" w:eastAsia="宋体"/>
          <w:b/>
          <w:bCs/>
          <w:sz w:val="32"/>
          <w:szCs w:val="32"/>
          <w:lang w:val="en-US" w:eastAsia="zh-CN"/>
        </w:rPr>
        <w:t>附件1</w:t>
      </w:r>
    </w:p>
    <w:p w14:paraId="179677E7">
      <w:pPr>
        <w:jc w:val="center"/>
        <w:rPr>
          <w:rFonts w:hint="default" w:eastAsia="宋体"/>
          <w:b/>
          <w:bCs/>
          <w:sz w:val="36"/>
          <w:szCs w:val="36"/>
          <w:lang w:val="en-US" w:eastAsia="zh-CN"/>
        </w:rPr>
      </w:pPr>
      <w:r>
        <w:rPr>
          <w:rFonts w:hint="eastAsia" w:eastAsia="宋体"/>
          <w:b/>
          <w:bCs/>
          <w:sz w:val="36"/>
          <w:szCs w:val="36"/>
          <w:lang w:val="en-US" w:eastAsia="zh-CN"/>
        </w:rPr>
        <w:t>项目具体参数要求及报价单</w:t>
      </w:r>
    </w:p>
    <w:p w14:paraId="7F03F1EE">
      <w:pPr>
        <w:jc w:val="center"/>
        <w:rPr>
          <w:rFonts w:hint="default" w:eastAsia="宋体"/>
          <w:b/>
          <w:bCs/>
          <w:sz w:val="48"/>
          <w:szCs w:val="48"/>
          <w:lang w:val="en-US" w:eastAsia="zh-CN"/>
        </w:rPr>
      </w:pPr>
    </w:p>
    <w:p w14:paraId="50509A38">
      <w:pPr>
        <w:rPr>
          <w:rFonts w:hint="default" w:ascii="Arial" w:eastAsia="宋体"/>
          <w:b/>
          <w:bCs/>
          <w:sz w:val="32"/>
          <w:szCs w:val="32"/>
          <w:lang w:val="en-US" w:eastAsia="zh-CN"/>
        </w:rPr>
      </w:pPr>
      <w:r>
        <w:rPr>
          <w:rFonts w:hint="eastAsia" w:eastAsia="宋体"/>
          <w:b/>
          <w:bCs/>
          <w:sz w:val="32"/>
          <w:szCs w:val="32"/>
          <w:lang w:val="en-US" w:eastAsia="zh-CN"/>
        </w:rPr>
        <w:t>一、喷淋头型号参数</w:t>
      </w:r>
    </w:p>
    <w:p w14:paraId="6EDE7FC2">
      <w:pPr>
        <w:numPr>
          <w:ilvl w:val="0"/>
          <w:numId w:val="1"/>
        </w:numPr>
        <w:rPr>
          <w:rFonts w:hint="default" w:eastAsia="宋体"/>
          <w:sz w:val="32"/>
          <w:szCs w:val="32"/>
          <w:lang w:val="en-US" w:eastAsia="zh-CN"/>
        </w:rPr>
      </w:pPr>
      <w:r>
        <w:rPr>
          <w:rFonts w:hint="eastAsia" w:eastAsia="宋体"/>
          <w:sz w:val="32"/>
          <w:szCs w:val="32"/>
          <w:lang w:val="en-US" w:eastAsia="zh-CN"/>
        </w:rPr>
        <w:t>核心型号分类：型号参考：ZSTX、ZSTZ型号</w:t>
      </w:r>
    </w:p>
    <w:p w14:paraId="7626F67A">
      <w:pPr>
        <w:numPr>
          <w:ilvl w:val="0"/>
          <w:numId w:val="1"/>
        </w:numPr>
        <w:rPr>
          <w:rFonts w:hint="default" w:eastAsia="宋体"/>
          <w:sz w:val="32"/>
          <w:szCs w:val="32"/>
          <w:lang w:val="en-US" w:eastAsia="zh-CN"/>
        </w:rPr>
      </w:pPr>
      <w:r>
        <w:rPr>
          <w:rFonts w:hint="eastAsia" w:eastAsia="宋体"/>
          <w:sz w:val="32"/>
          <w:szCs w:val="32"/>
          <w:lang w:val="en-US" w:eastAsia="zh-CN"/>
        </w:rPr>
        <w:t>关键技术参数：各型号喷淋头的动作温度（建议常规区域选用 68℃，厨房等高温区域若有涉及需选用 93℃，需结合各位置实际环境确认）、响应时间指数（RTI，如快速响应型 RTI≤50（m・s）^0.5，标准响应型 RTI＞80（m・s）^0.5）、流量系数（K 值，如 K=80、K=115 等，需根据建筑消防设计规范计算确定）、溅水盘形式（如平板型、凹型），以及材质要求（如铜合金主体、玻璃球采用高硼硅玻璃）</w:t>
      </w:r>
    </w:p>
    <w:p w14:paraId="188B534F">
      <w:pPr>
        <w:numPr>
          <w:ilvl w:val="0"/>
          <w:numId w:val="1"/>
        </w:numPr>
        <w:rPr>
          <w:rFonts w:hint="default" w:eastAsia="宋体"/>
          <w:sz w:val="32"/>
          <w:szCs w:val="32"/>
          <w:lang w:val="en-US" w:eastAsia="zh-CN"/>
        </w:rPr>
      </w:pPr>
      <w:r>
        <w:rPr>
          <w:rFonts w:hint="default" w:eastAsia="宋体"/>
          <w:sz w:val="32"/>
          <w:szCs w:val="32"/>
          <w:lang w:val="en-US" w:eastAsia="zh-CN"/>
        </w:rPr>
        <w:t>各型号喷淋头的动作温度（建议常规区域选用 68℃，厨房等高温区域若有涉及需选用 93℃，需结合各位置实际环境确认）、响应时间指数（RTI，如快速响应型 RTI≤50（m・s）^0.5，标准响应型 RTI＞80（m・s）^0.5）、流量系数（K 值，如 K=80、K=115 等，需根据建筑消防设计规范计算确定）、溅水盘形式（如平板型、凹型），以及材质要求（如铜合金主体、玻璃球采用高硼硅玻璃）</w:t>
      </w:r>
    </w:p>
    <w:p w14:paraId="5D415637">
      <w:pPr>
        <w:numPr>
          <w:ilvl w:val="0"/>
          <w:numId w:val="2"/>
        </w:numPr>
        <w:rPr>
          <w:rFonts w:hint="eastAsia" w:eastAsia="宋体"/>
          <w:b/>
          <w:bCs/>
          <w:sz w:val="32"/>
          <w:szCs w:val="32"/>
          <w:lang w:val="en-US" w:eastAsia="zh-CN"/>
        </w:rPr>
      </w:pPr>
      <w:r>
        <w:rPr>
          <w:rFonts w:hint="eastAsia" w:eastAsia="宋体"/>
          <w:b/>
          <w:bCs/>
          <w:sz w:val="32"/>
          <w:szCs w:val="32"/>
          <w:lang w:val="en-US" w:eastAsia="zh-CN"/>
        </w:rPr>
        <w:t>施工技术规范及检测要求</w:t>
      </w:r>
    </w:p>
    <w:p w14:paraId="4B19F590">
      <w:pPr>
        <w:numPr>
          <w:ilvl w:val="0"/>
          <w:numId w:val="0"/>
        </w:numPr>
        <w:rPr>
          <w:rFonts w:hint="default" w:eastAsia="宋体"/>
          <w:sz w:val="32"/>
          <w:szCs w:val="32"/>
          <w:lang w:val="en-US" w:eastAsia="zh-CN"/>
        </w:rPr>
      </w:pPr>
      <w:r>
        <w:rPr>
          <w:rFonts w:hint="default" w:eastAsia="宋体"/>
          <w:sz w:val="32"/>
          <w:szCs w:val="32"/>
          <w:lang w:val="en-US" w:eastAsia="zh-CN"/>
        </w:rPr>
        <w:t>为保障喷淋头更换施工质量，避免后期出现漏水、灭火效果不佳等问题，需在招标申请中明确以下施工技术规范及检测要求：</w:t>
      </w:r>
    </w:p>
    <w:p w14:paraId="66134FA9">
      <w:pPr>
        <w:numPr>
          <w:ilvl w:val="0"/>
          <w:numId w:val="3"/>
        </w:numPr>
        <w:rPr>
          <w:rFonts w:hint="default" w:eastAsia="宋体"/>
          <w:sz w:val="32"/>
          <w:szCs w:val="32"/>
          <w:lang w:val="en-US" w:eastAsia="zh-CN"/>
        </w:rPr>
      </w:pPr>
      <w:r>
        <w:rPr>
          <w:rFonts w:hint="default" w:eastAsia="宋体"/>
          <w:sz w:val="32"/>
          <w:szCs w:val="32"/>
          <w:lang w:val="en-US" w:eastAsia="zh-CN"/>
        </w:rPr>
        <w:t>管道试压技术参数</w:t>
      </w:r>
      <w:r>
        <w:rPr>
          <w:rFonts w:hint="eastAsia" w:eastAsia="宋体"/>
          <w:sz w:val="32"/>
          <w:szCs w:val="32"/>
          <w:lang w:val="en-US" w:eastAsia="zh-CN"/>
        </w:rPr>
        <w:t>：</w:t>
      </w:r>
    </w:p>
    <w:p w14:paraId="4CB52E8A">
      <w:pPr>
        <w:numPr>
          <w:ilvl w:val="0"/>
          <w:numId w:val="4"/>
        </w:numPr>
        <w:rPr>
          <w:rFonts w:hint="default" w:eastAsia="宋体"/>
          <w:sz w:val="32"/>
          <w:szCs w:val="32"/>
          <w:lang w:val="en-US" w:eastAsia="zh-CN"/>
        </w:rPr>
      </w:pPr>
      <w:r>
        <w:rPr>
          <w:rFonts w:hint="default" w:eastAsia="宋体"/>
          <w:sz w:val="32"/>
          <w:szCs w:val="32"/>
          <w:lang w:val="en-US" w:eastAsia="zh-CN"/>
        </w:rPr>
        <w:t xml:space="preserve">试验压力：按照《自动喷水灭火系统施工及验收规范》（GB 50261-2017）要求，系统设计工作压力≤1.0MPa 时，水压强度试验压力为 1.5MPa；系统设计工作压力＞1.0MPa 时，水压强度试验压力为设计工作压力 + 0.4MPa。需在招标申请中明确本项目的系统设计工作压力及对应的水压强度试验压力。 </w:t>
      </w:r>
    </w:p>
    <w:p w14:paraId="3ACA4435">
      <w:pPr>
        <w:numPr>
          <w:ilvl w:val="0"/>
          <w:numId w:val="4"/>
        </w:numPr>
        <w:ind w:left="0" w:leftChars="0" w:firstLine="0" w:firstLineChars="0"/>
        <w:rPr>
          <w:rFonts w:hint="default" w:eastAsia="宋体"/>
          <w:sz w:val="32"/>
          <w:szCs w:val="32"/>
          <w:lang w:val="en-US" w:eastAsia="zh-CN"/>
        </w:rPr>
      </w:pPr>
      <w:r>
        <w:rPr>
          <w:rFonts w:hint="default" w:eastAsia="宋体"/>
          <w:sz w:val="32"/>
          <w:szCs w:val="32"/>
          <w:lang w:val="en-US" w:eastAsia="zh-CN"/>
        </w:rPr>
        <w:t>试验时长：水压强度试验应稳压 30min，压力降不应大于 0.05MPa；水压严密性试验应在水压强度试验合格后进行，试验压力为系统设计工作压力，稳压 24h，压力降不应大于 0.01MPa。</w:t>
      </w:r>
    </w:p>
    <w:p w14:paraId="73B939E2">
      <w:pPr>
        <w:numPr>
          <w:ilvl w:val="0"/>
          <w:numId w:val="0"/>
        </w:numPr>
        <w:ind w:leftChars="0"/>
        <w:rPr>
          <w:rFonts w:hint="default" w:eastAsia="宋体"/>
          <w:sz w:val="32"/>
          <w:szCs w:val="32"/>
          <w:lang w:val="en-US" w:eastAsia="zh-CN"/>
        </w:rPr>
      </w:pPr>
      <w:r>
        <w:rPr>
          <w:rFonts w:hint="default" w:eastAsia="宋体"/>
          <w:sz w:val="32"/>
          <w:szCs w:val="32"/>
          <w:lang w:val="en-US" w:eastAsia="zh-CN"/>
        </w:rPr>
        <w:t>3. 试验介质：采用清洁自来水，试验前需清除管道内的杂物、铁锈等，避免堵塞管道或影响试验结果。</w:t>
      </w:r>
    </w:p>
    <w:p w14:paraId="01E892B3">
      <w:pPr>
        <w:numPr>
          <w:ilvl w:val="0"/>
          <w:numId w:val="3"/>
        </w:numPr>
        <w:ind w:left="0" w:leftChars="0" w:firstLine="0" w:firstLineChars="0"/>
        <w:rPr>
          <w:rFonts w:hint="default" w:eastAsia="宋体"/>
          <w:sz w:val="32"/>
          <w:szCs w:val="32"/>
          <w:lang w:val="en-US" w:eastAsia="zh-CN"/>
        </w:rPr>
      </w:pPr>
      <w:r>
        <w:rPr>
          <w:rFonts w:hint="default" w:eastAsia="宋体"/>
          <w:sz w:val="32"/>
          <w:szCs w:val="32"/>
          <w:lang w:val="en-US" w:eastAsia="zh-CN"/>
        </w:rPr>
        <w:t>管道冲洗技术要求</w:t>
      </w:r>
      <w:r>
        <w:rPr>
          <w:rFonts w:hint="eastAsia" w:eastAsia="宋体"/>
          <w:sz w:val="32"/>
          <w:szCs w:val="32"/>
          <w:lang w:val="en-US" w:eastAsia="zh-CN"/>
        </w:rPr>
        <w:t>：</w:t>
      </w:r>
    </w:p>
    <w:p w14:paraId="449C97F1">
      <w:pPr>
        <w:numPr>
          <w:ilvl w:val="0"/>
          <w:numId w:val="5"/>
        </w:numPr>
        <w:ind w:leftChars="0"/>
        <w:rPr>
          <w:rFonts w:hint="default" w:eastAsia="宋体"/>
          <w:sz w:val="32"/>
          <w:szCs w:val="32"/>
          <w:lang w:val="en-US" w:eastAsia="zh-CN"/>
        </w:rPr>
      </w:pPr>
      <w:r>
        <w:rPr>
          <w:rFonts w:hint="default" w:eastAsia="宋体"/>
          <w:sz w:val="32"/>
          <w:szCs w:val="32"/>
          <w:lang w:val="en-US" w:eastAsia="zh-CN"/>
        </w:rPr>
        <w:t>冲洗顺序：先冲洗干管，再冲洗立管，最后冲洗支管，确保管道各段均能冲洗到位。</w:t>
      </w:r>
    </w:p>
    <w:p w14:paraId="5166AEDD">
      <w:pPr>
        <w:numPr>
          <w:ilvl w:val="0"/>
          <w:numId w:val="5"/>
        </w:numPr>
        <w:ind w:left="0" w:leftChars="0" w:firstLine="0" w:firstLineChars="0"/>
        <w:rPr>
          <w:rFonts w:hint="default" w:eastAsia="宋体"/>
          <w:sz w:val="32"/>
          <w:szCs w:val="32"/>
          <w:lang w:val="en-US" w:eastAsia="zh-CN"/>
        </w:rPr>
      </w:pPr>
      <w:r>
        <w:rPr>
          <w:rFonts w:hint="default" w:eastAsia="宋体"/>
          <w:sz w:val="32"/>
          <w:szCs w:val="32"/>
          <w:lang w:val="en-US" w:eastAsia="zh-CN"/>
        </w:rPr>
        <w:t xml:space="preserve">冲洗流速：冲洗水流速度不应小于 3m/s，保证有足够的冲击力清除管道内的杂质。 </w:t>
      </w:r>
    </w:p>
    <w:p w14:paraId="34C76069">
      <w:pPr>
        <w:numPr>
          <w:ilvl w:val="0"/>
          <w:numId w:val="0"/>
        </w:numPr>
        <w:ind w:leftChars="0"/>
        <w:rPr>
          <w:rFonts w:hint="default" w:eastAsia="宋体"/>
          <w:sz w:val="32"/>
          <w:szCs w:val="32"/>
          <w:lang w:val="en-US" w:eastAsia="zh-CN"/>
        </w:rPr>
      </w:pPr>
      <w:r>
        <w:rPr>
          <w:rFonts w:hint="default" w:eastAsia="宋体"/>
          <w:sz w:val="32"/>
          <w:szCs w:val="32"/>
          <w:lang w:val="en-US" w:eastAsia="zh-CN"/>
        </w:rPr>
        <w:t>3. 冲洗标准：出水口的水色、透明度与入水口一致时，方可判定为冲洗合格，需留存冲洗记录及影像资料，作为验收依据。</w:t>
      </w:r>
    </w:p>
    <w:p w14:paraId="0699A5A2">
      <w:pPr>
        <w:numPr>
          <w:ilvl w:val="0"/>
          <w:numId w:val="3"/>
        </w:numPr>
        <w:ind w:left="0" w:leftChars="0" w:firstLine="0" w:firstLineChars="0"/>
        <w:rPr>
          <w:rFonts w:hint="default" w:eastAsia="宋体"/>
          <w:sz w:val="32"/>
          <w:szCs w:val="32"/>
          <w:lang w:val="en-US" w:eastAsia="zh-CN"/>
        </w:rPr>
      </w:pPr>
      <w:r>
        <w:rPr>
          <w:rFonts w:hint="default" w:eastAsia="宋体"/>
          <w:sz w:val="32"/>
          <w:szCs w:val="32"/>
          <w:lang w:val="en-US" w:eastAsia="zh-CN"/>
        </w:rPr>
        <w:t>喷头安装技术参数</w:t>
      </w:r>
      <w:r>
        <w:rPr>
          <w:rFonts w:hint="eastAsia" w:eastAsia="宋体"/>
          <w:sz w:val="32"/>
          <w:szCs w:val="32"/>
          <w:lang w:val="en-US" w:eastAsia="zh-CN"/>
        </w:rPr>
        <w:t>；</w:t>
      </w:r>
    </w:p>
    <w:p w14:paraId="1881F3C6">
      <w:pPr>
        <w:numPr>
          <w:ilvl w:val="0"/>
          <w:numId w:val="0"/>
        </w:numPr>
        <w:rPr>
          <w:rFonts w:hint="default" w:eastAsia="宋体"/>
          <w:sz w:val="32"/>
          <w:szCs w:val="32"/>
          <w:lang w:val="en-US" w:eastAsia="zh-CN"/>
        </w:rPr>
      </w:pPr>
      <w:r>
        <w:rPr>
          <w:rFonts w:hint="eastAsia" w:eastAsia="宋体"/>
          <w:sz w:val="32"/>
          <w:szCs w:val="32"/>
          <w:lang w:val="en-US" w:eastAsia="zh-CN"/>
        </w:rPr>
        <w:t>1.</w:t>
      </w:r>
      <w:r>
        <w:rPr>
          <w:rFonts w:hint="default" w:eastAsia="宋体"/>
          <w:sz w:val="32"/>
          <w:szCs w:val="32"/>
          <w:lang w:val="en-US" w:eastAsia="zh-CN"/>
        </w:rPr>
        <w:t xml:space="preserve">安装间距：根据喷淋头型号及覆盖面积，明确安装间距要求，如标准覆盖面积喷头间距不应大于 3.6m，且不应小于 1.8m；扩大覆盖面积喷头间距需结合具体 K 值确定，避免间距过大导致灭火盲区，或间距过小造成资源浪费。 </w:t>
      </w:r>
    </w:p>
    <w:p w14:paraId="3490A43B">
      <w:pPr>
        <w:numPr>
          <w:ilvl w:val="0"/>
          <w:numId w:val="0"/>
        </w:numPr>
        <w:ind w:leftChars="0"/>
        <w:rPr>
          <w:rFonts w:hint="default" w:eastAsia="宋体"/>
          <w:sz w:val="32"/>
          <w:szCs w:val="32"/>
          <w:lang w:val="en-US" w:eastAsia="zh-CN"/>
        </w:rPr>
      </w:pPr>
      <w:r>
        <w:rPr>
          <w:rFonts w:hint="eastAsia" w:eastAsia="宋体"/>
          <w:sz w:val="32"/>
          <w:szCs w:val="32"/>
          <w:lang w:val="en-US" w:eastAsia="zh-CN"/>
        </w:rPr>
        <w:t>2.</w:t>
      </w:r>
      <w:r>
        <w:rPr>
          <w:rFonts w:hint="default" w:eastAsia="宋体"/>
          <w:sz w:val="32"/>
          <w:szCs w:val="32"/>
          <w:lang w:val="en-US" w:eastAsia="zh-CN"/>
        </w:rPr>
        <w:t>安装高度：喷头溅水盘与顶板、楼板、梁底等的距离需符合规范要求，如直立型、下垂型喷头溅水盘与顶板的距离，不应小于75mm，且不应大于150mm；当在梁或其他障碍物下方安装喷头时，需补充相关偏移安装的技术要求</w:t>
      </w:r>
    </w:p>
    <w:p w14:paraId="250F2DB3">
      <w:pPr>
        <w:numPr>
          <w:ilvl w:val="0"/>
          <w:numId w:val="0"/>
        </w:numPr>
        <w:ind w:leftChars="0"/>
        <w:rPr>
          <w:rFonts w:hint="default" w:eastAsia="宋体"/>
          <w:sz w:val="32"/>
          <w:szCs w:val="32"/>
          <w:lang w:val="en-US" w:eastAsia="zh-CN"/>
        </w:rPr>
      </w:pPr>
      <w:r>
        <w:rPr>
          <w:rFonts w:hint="default" w:eastAsia="宋体"/>
          <w:sz w:val="32"/>
          <w:szCs w:val="32"/>
          <w:lang w:val="en-US" w:eastAsia="zh-CN"/>
        </w:rPr>
        <w:t>3.安装固定：喷头应采用专用扳手安装，严禁利用喷头的框架施拧；喷头安装后，框架、溅水盘应无变形、损坏，且与管道连接紧密，无松动、漏水现象。</w:t>
      </w:r>
    </w:p>
    <w:p w14:paraId="4FEC325E">
      <w:pPr>
        <w:numPr>
          <w:ilvl w:val="0"/>
          <w:numId w:val="0"/>
        </w:numPr>
        <w:ind w:leftChars="0"/>
        <w:rPr>
          <w:rFonts w:hint="eastAsia" w:eastAsia="宋体"/>
          <w:sz w:val="32"/>
          <w:szCs w:val="32"/>
          <w:lang w:val="en-US" w:eastAsia="zh-CN"/>
        </w:rPr>
      </w:pPr>
      <w:r>
        <w:rPr>
          <w:rFonts w:hint="default" w:eastAsia="宋体"/>
          <w:sz w:val="32"/>
          <w:szCs w:val="32"/>
          <w:lang w:val="en-US" w:eastAsia="zh-CN"/>
        </w:rPr>
        <w:t xml:space="preserve">（四）施工完成后检测要求 </w:t>
      </w:r>
      <w:r>
        <w:rPr>
          <w:rFonts w:hint="eastAsia" w:eastAsia="宋体"/>
          <w:sz w:val="32"/>
          <w:szCs w:val="32"/>
          <w:lang w:val="en-US" w:eastAsia="zh-CN"/>
        </w:rPr>
        <w:t>：</w:t>
      </w:r>
    </w:p>
    <w:p w14:paraId="19C0157D">
      <w:pPr>
        <w:numPr>
          <w:ilvl w:val="0"/>
          <w:numId w:val="0"/>
        </w:numPr>
        <w:ind w:leftChars="0"/>
        <w:rPr>
          <w:rFonts w:hint="eastAsia" w:eastAsia="宋体"/>
          <w:sz w:val="32"/>
          <w:szCs w:val="32"/>
          <w:lang w:val="en-US" w:eastAsia="zh-CN"/>
        </w:rPr>
      </w:pPr>
      <w:r>
        <w:rPr>
          <w:rFonts w:hint="default" w:eastAsia="宋体"/>
          <w:sz w:val="32"/>
          <w:szCs w:val="32"/>
          <w:lang w:val="en-US" w:eastAsia="zh-CN"/>
        </w:rPr>
        <w:t>1.外观检测：检查喷头安装位置、方向是否符合设计要求，喷头有无破损、变形，管道有无明显弯曲、锈蚀，支架安装是否牢固、间距是否合规</w:t>
      </w:r>
      <w:r>
        <w:rPr>
          <w:rFonts w:hint="eastAsia" w:eastAsia="宋体"/>
          <w:sz w:val="32"/>
          <w:szCs w:val="32"/>
          <w:lang w:val="en-US" w:eastAsia="zh-CN"/>
        </w:rPr>
        <w:t>。</w:t>
      </w:r>
    </w:p>
    <w:p w14:paraId="777D321C">
      <w:pPr>
        <w:numPr>
          <w:ilvl w:val="0"/>
          <w:numId w:val="0"/>
        </w:numPr>
        <w:ind w:leftChars="0"/>
        <w:rPr>
          <w:rFonts w:hint="default" w:eastAsia="宋体"/>
          <w:sz w:val="32"/>
          <w:szCs w:val="32"/>
          <w:lang w:val="en-US" w:eastAsia="zh-CN"/>
        </w:rPr>
      </w:pPr>
      <w:r>
        <w:rPr>
          <w:rFonts w:hint="default" w:eastAsia="宋体"/>
          <w:sz w:val="32"/>
          <w:szCs w:val="32"/>
          <w:lang w:val="en-US" w:eastAsia="zh-CN"/>
        </w:rPr>
        <w:t>2.功能检测：进行系统联动试验，模拟火灾信号，检查喷淋泵是否能正常启动、水流指示器是否能准确报警、喷头是否能正常喷水，确保系统整体功能正常。</w:t>
      </w:r>
    </w:p>
    <w:p w14:paraId="4EA71136">
      <w:pPr>
        <w:numPr>
          <w:ilvl w:val="0"/>
          <w:numId w:val="0"/>
        </w:numPr>
        <w:ind w:leftChars="0"/>
        <w:rPr>
          <w:rFonts w:hint="default" w:eastAsia="宋体"/>
          <w:sz w:val="32"/>
          <w:szCs w:val="32"/>
          <w:lang w:val="en-US" w:eastAsia="zh-CN"/>
        </w:rPr>
      </w:pPr>
      <w:r>
        <w:rPr>
          <w:rFonts w:hint="default" w:eastAsia="宋体"/>
          <w:sz w:val="32"/>
          <w:szCs w:val="32"/>
          <w:lang w:val="en-US" w:eastAsia="zh-CN"/>
        </w:rPr>
        <w:t>3.验收资料：施工单位需提交完整的验收资料，包括施工图纸、设备合格证、CCC认证证书、管道试压记录、管道冲洗记录、喷头安装记录、系统联动试验记录等，供</w:t>
      </w:r>
      <w:r>
        <w:rPr>
          <w:rFonts w:hint="eastAsia" w:eastAsia="宋体"/>
          <w:sz w:val="32"/>
          <w:szCs w:val="32"/>
          <w:lang w:val="en-US" w:eastAsia="zh-CN"/>
        </w:rPr>
        <w:t>甲</w:t>
      </w:r>
      <w:r>
        <w:rPr>
          <w:rFonts w:hint="default" w:eastAsia="宋体"/>
          <w:sz w:val="32"/>
          <w:szCs w:val="32"/>
          <w:lang w:val="en-US" w:eastAsia="zh-CN"/>
        </w:rPr>
        <w:t>方审核验收</w:t>
      </w:r>
      <w:r>
        <w:rPr>
          <w:rFonts w:hint="eastAsia" w:eastAsia="宋体"/>
          <w:sz w:val="32"/>
          <w:szCs w:val="32"/>
          <w:lang w:val="en-US" w:eastAsia="zh-CN"/>
        </w:rPr>
        <w:t>。</w:t>
      </w:r>
    </w:p>
    <w:p w14:paraId="492F8A65">
      <w:pPr>
        <w:numPr>
          <w:ilvl w:val="0"/>
          <w:numId w:val="0"/>
        </w:numPr>
        <w:ind w:leftChars="0"/>
        <w:rPr>
          <w:rFonts w:hint="default" w:eastAsia="宋体"/>
          <w:b/>
          <w:bCs/>
          <w:sz w:val="32"/>
          <w:szCs w:val="32"/>
          <w:lang w:val="en-US" w:eastAsia="zh-CN"/>
        </w:rPr>
      </w:pPr>
      <w:r>
        <w:rPr>
          <w:rFonts w:hint="default" w:eastAsia="宋体"/>
          <w:b/>
          <w:bCs/>
          <w:sz w:val="32"/>
          <w:szCs w:val="32"/>
          <w:lang w:val="en-US" w:eastAsia="zh-CN"/>
        </w:rPr>
        <w:t>三、明确工期要求 为避免施工周期过长影响师生正常工作、生活和学习，需在招标申请中明确具体工期要求，包括以下内容：</w:t>
      </w:r>
    </w:p>
    <w:p w14:paraId="7080E011">
      <w:pPr>
        <w:numPr>
          <w:ilvl w:val="0"/>
          <w:numId w:val="0"/>
        </w:numPr>
        <w:ind w:leftChars="0"/>
        <w:rPr>
          <w:rFonts w:hint="default" w:eastAsia="宋体"/>
          <w:sz w:val="32"/>
          <w:szCs w:val="32"/>
          <w:lang w:val="en-US" w:eastAsia="zh-CN"/>
        </w:rPr>
      </w:pPr>
      <w:r>
        <w:rPr>
          <w:rFonts w:hint="default" w:eastAsia="宋体"/>
          <w:sz w:val="32"/>
          <w:szCs w:val="32"/>
          <w:lang w:val="en-US" w:eastAsia="zh-CN"/>
        </w:rPr>
        <w:t>1. 总工期时长：结合项目规模（高层公寓545 个、众创空间20个、闻德礼堂15个，共计580个喷淋头），合理设定总工期，建议总工期不超过</w:t>
      </w:r>
      <w:r>
        <w:rPr>
          <w:rFonts w:hint="eastAsia" w:eastAsia="宋体"/>
          <w:sz w:val="32"/>
          <w:szCs w:val="32"/>
          <w:lang w:val="en-US" w:eastAsia="zh-CN"/>
        </w:rPr>
        <w:t>20</w:t>
      </w:r>
      <w:r>
        <w:rPr>
          <w:rFonts w:hint="default" w:eastAsia="宋体"/>
          <w:sz w:val="32"/>
          <w:szCs w:val="32"/>
          <w:lang w:val="en-US" w:eastAsia="zh-CN"/>
        </w:rPr>
        <w:t>天</w:t>
      </w:r>
      <w:r>
        <w:rPr>
          <w:rFonts w:hint="eastAsia" w:eastAsia="宋体"/>
          <w:sz w:val="32"/>
          <w:szCs w:val="32"/>
          <w:lang w:val="en-US" w:eastAsia="zh-CN"/>
        </w:rPr>
        <w:t>，</w:t>
      </w:r>
      <w:r>
        <w:rPr>
          <w:rFonts w:hint="default" w:eastAsia="宋体"/>
          <w:sz w:val="32"/>
          <w:szCs w:val="32"/>
          <w:lang w:val="en-US" w:eastAsia="zh-CN"/>
        </w:rPr>
        <w:t>或自甲方通知开工之日起算。</w:t>
      </w:r>
    </w:p>
    <w:p w14:paraId="101050FE">
      <w:pPr>
        <w:numPr>
          <w:ilvl w:val="0"/>
          <w:numId w:val="0"/>
        </w:numPr>
        <w:ind w:leftChars="0"/>
        <w:rPr>
          <w:rFonts w:hint="default" w:eastAsia="宋体"/>
          <w:sz w:val="32"/>
          <w:szCs w:val="32"/>
          <w:lang w:val="en-US" w:eastAsia="zh-CN"/>
        </w:rPr>
      </w:pPr>
      <w:r>
        <w:rPr>
          <w:rFonts w:hint="default" w:eastAsia="宋体"/>
          <w:sz w:val="32"/>
          <w:szCs w:val="32"/>
          <w:lang w:val="en-US" w:eastAsia="zh-CN"/>
        </w:rPr>
        <w:t>2.分阶段工期：将项目分为前期准备（材料进场验收、现场清理）、管道试压与冲洗、喷淋头拆卸与安装、系统检测与调试四个阶段，明确每个阶段的完成时限，如前期准备不超过3天，管道试压与冲洗不超过5天，喷淋头拆卸与安装不超过</w:t>
      </w:r>
      <w:r>
        <w:rPr>
          <w:rFonts w:hint="eastAsia" w:eastAsia="宋体"/>
          <w:sz w:val="32"/>
          <w:szCs w:val="32"/>
          <w:lang w:val="en-US" w:eastAsia="zh-CN"/>
        </w:rPr>
        <w:t>12</w:t>
      </w:r>
      <w:r>
        <w:rPr>
          <w:rFonts w:hint="default" w:eastAsia="宋体"/>
          <w:sz w:val="32"/>
          <w:szCs w:val="32"/>
          <w:lang w:val="en-US" w:eastAsia="zh-CN"/>
        </w:rPr>
        <w:t>天，系统检测与调试不超过</w:t>
      </w:r>
      <w:r>
        <w:rPr>
          <w:rFonts w:hint="eastAsia" w:eastAsia="宋体"/>
          <w:sz w:val="32"/>
          <w:szCs w:val="32"/>
          <w:lang w:val="en-US" w:eastAsia="zh-CN"/>
        </w:rPr>
        <w:t>3</w:t>
      </w:r>
      <w:r>
        <w:rPr>
          <w:rFonts w:hint="default" w:eastAsia="宋体"/>
          <w:sz w:val="32"/>
          <w:szCs w:val="32"/>
          <w:lang w:val="en-US" w:eastAsia="zh-CN"/>
        </w:rPr>
        <w:t>天，确保各环节有序推进。</w:t>
      </w:r>
    </w:p>
    <w:p w14:paraId="21F5D6EE">
      <w:pPr>
        <w:numPr>
          <w:ilvl w:val="0"/>
          <w:numId w:val="0"/>
        </w:numPr>
        <w:ind w:leftChars="0"/>
        <w:rPr>
          <w:rFonts w:hint="default" w:eastAsia="宋体"/>
          <w:sz w:val="32"/>
          <w:szCs w:val="32"/>
          <w:lang w:val="en-US" w:eastAsia="zh-CN"/>
        </w:rPr>
      </w:pPr>
      <w:r>
        <w:rPr>
          <w:rFonts w:hint="default" w:eastAsia="宋体"/>
          <w:sz w:val="32"/>
          <w:szCs w:val="32"/>
          <w:lang w:val="en-US" w:eastAsia="zh-CN"/>
        </w:rPr>
        <w:t>3.工期调整机制：明确因不可抗力（如极端暴雨、地震等）导致工期延误时，施工单位需提前</w:t>
      </w:r>
      <w:r>
        <w:rPr>
          <w:rFonts w:hint="eastAsia" w:eastAsia="宋体"/>
          <w:sz w:val="32"/>
          <w:szCs w:val="32"/>
          <w:lang w:val="en-US" w:eastAsia="zh-CN"/>
        </w:rPr>
        <w:t>24</w:t>
      </w:r>
      <w:r>
        <w:rPr>
          <w:rFonts w:hint="default" w:eastAsia="宋体"/>
          <w:sz w:val="32"/>
          <w:szCs w:val="32"/>
          <w:lang w:val="en-US" w:eastAsia="zh-CN"/>
        </w:rPr>
        <w:t>小时向</w:t>
      </w:r>
      <w:r>
        <w:rPr>
          <w:rFonts w:hint="eastAsia" w:eastAsia="宋体"/>
          <w:sz w:val="32"/>
          <w:szCs w:val="32"/>
          <w:lang w:val="en-US" w:eastAsia="zh-CN"/>
        </w:rPr>
        <w:t>甲</w:t>
      </w:r>
      <w:r>
        <w:rPr>
          <w:rFonts w:hint="default" w:eastAsia="宋体"/>
          <w:sz w:val="32"/>
          <w:szCs w:val="32"/>
          <w:lang w:val="en-US" w:eastAsia="zh-CN"/>
        </w:rPr>
        <w:t>方提交工期顺延申请，说明延误原因及预计顺延时长，经招标方审核同意后方可调整工期；因施工单位自身原因（如人员不足、材料短缺等）导致工期延误的，需明确违约责任（如每逾期一天支付合同总金额[</w:t>
      </w:r>
      <w:r>
        <w:rPr>
          <w:rFonts w:hint="eastAsia" w:eastAsia="宋体"/>
          <w:sz w:val="32"/>
          <w:szCs w:val="32"/>
          <w:lang w:val="en-US" w:eastAsia="zh-CN"/>
        </w:rPr>
        <w:t>0.5</w:t>
      </w:r>
      <w:r>
        <w:rPr>
          <w:rFonts w:hint="default" w:eastAsia="宋体"/>
          <w:sz w:val="32"/>
          <w:szCs w:val="32"/>
          <w:lang w:val="en-US" w:eastAsia="zh-CN"/>
        </w:rPr>
        <w:t>‰] 的违约金）。</w:t>
      </w:r>
    </w:p>
    <w:p w14:paraId="2459A54B">
      <w:pPr>
        <w:numPr>
          <w:ilvl w:val="0"/>
          <w:numId w:val="0"/>
        </w:numPr>
        <w:ind w:leftChars="0"/>
        <w:rPr>
          <w:rFonts w:hint="eastAsia" w:eastAsia="宋体"/>
          <w:sz w:val="32"/>
          <w:szCs w:val="32"/>
          <w:lang w:val="en-US" w:eastAsia="zh-CN"/>
        </w:rPr>
      </w:pPr>
      <w:r>
        <w:rPr>
          <w:rFonts w:hint="eastAsia" w:eastAsia="宋体"/>
          <w:sz w:val="32"/>
          <w:szCs w:val="32"/>
          <w:lang w:val="en-US" w:eastAsia="zh-CN"/>
        </w:rPr>
        <w:t>四、质保期内全范围服务要求</w:t>
      </w:r>
    </w:p>
    <w:p w14:paraId="14D13F26">
      <w:pPr>
        <w:numPr>
          <w:ilvl w:val="0"/>
          <w:numId w:val="0"/>
        </w:numPr>
        <w:ind w:leftChars="0"/>
        <w:rPr>
          <w:rFonts w:hint="default" w:eastAsia="宋体"/>
          <w:sz w:val="32"/>
          <w:szCs w:val="32"/>
          <w:lang w:val="en-US" w:eastAsia="zh-CN"/>
        </w:rPr>
      </w:pPr>
      <w:r>
        <w:rPr>
          <w:rFonts w:hint="eastAsia" w:eastAsia="宋体"/>
          <w:sz w:val="32"/>
          <w:szCs w:val="32"/>
          <w:lang w:val="en-US" w:eastAsia="zh-CN"/>
        </w:rPr>
        <w:t>1.</w:t>
      </w:r>
      <w:r>
        <w:rPr>
          <w:rFonts w:hint="default" w:eastAsia="宋体"/>
          <w:sz w:val="32"/>
          <w:szCs w:val="32"/>
          <w:lang w:val="en-US" w:eastAsia="zh-CN"/>
        </w:rPr>
        <w:t>故障响应服务：除因天气因素造成的破损外，其他任何原因（如产品质量、安装问题等）导致的喷淋头故障（如漏水、堵塞、无法正常动作等），施工单位需在接到通知后</w:t>
      </w:r>
      <w:r>
        <w:rPr>
          <w:rFonts w:hint="eastAsia" w:eastAsia="宋体"/>
          <w:sz w:val="32"/>
          <w:szCs w:val="32"/>
          <w:lang w:val="en-US" w:eastAsia="zh-CN"/>
        </w:rPr>
        <w:t>2</w:t>
      </w:r>
      <w:r>
        <w:rPr>
          <w:rFonts w:hint="default" w:eastAsia="宋体"/>
          <w:sz w:val="32"/>
          <w:szCs w:val="32"/>
          <w:lang w:val="en-US" w:eastAsia="zh-CN"/>
        </w:rPr>
        <w:t>小时内响应，[</w:t>
      </w:r>
      <w:r>
        <w:rPr>
          <w:rFonts w:hint="eastAsia" w:eastAsia="宋体"/>
          <w:sz w:val="32"/>
          <w:szCs w:val="32"/>
          <w:lang w:val="en-US" w:eastAsia="zh-CN"/>
        </w:rPr>
        <w:t>24</w:t>
      </w:r>
      <w:r>
        <w:rPr>
          <w:rFonts w:hint="default" w:eastAsia="宋体"/>
          <w:sz w:val="32"/>
          <w:szCs w:val="32"/>
          <w:lang w:val="en-US" w:eastAsia="zh-CN"/>
        </w:rPr>
        <w:t>小时]内到达现场处理；若故障导致漏水并造成损失，施工单位需在处理故障的同时，承担全额赔偿责任（包括财产损失修复费用、间接损失补偿等，明确损失核算标准）。</w:t>
      </w:r>
    </w:p>
    <w:p w14:paraId="2567C35B">
      <w:pPr>
        <w:numPr>
          <w:ilvl w:val="0"/>
          <w:numId w:val="0"/>
        </w:numPr>
        <w:ind w:leftChars="0"/>
        <w:rPr>
          <w:rFonts w:hint="default" w:eastAsia="宋体"/>
          <w:sz w:val="32"/>
          <w:szCs w:val="32"/>
          <w:lang w:val="en-US" w:eastAsia="zh-CN"/>
        </w:rPr>
      </w:pPr>
      <w:r>
        <w:rPr>
          <w:rFonts w:hint="default" w:eastAsia="宋体"/>
          <w:sz w:val="32"/>
          <w:szCs w:val="32"/>
          <w:lang w:val="en-US" w:eastAsia="zh-CN"/>
        </w:rPr>
        <w:t>2.定期巡检服务：质保期内，施工单位需每月进行一次现场巡检，检查喷淋头外观状态（有无破损、腐蚀）、安装牢固性、管道密封性，以及系统联动功能（随机抽取[</w:t>
      </w:r>
      <w:r>
        <w:rPr>
          <w:rFonts w:hint="eastAsia" w:eastAsia="宋体"/>
          <w:sz w:val="32"/>
          <w:szCs w:val="32"/>
          <w:lang w:val="en-US" w:eastAsia="zh-CN"/>
        </w:rPr>
        <w:t>10</w:t>
      </w:r>
      <w:r>
        <w:rPr>
          <w:rFonts w:hint="default" w:eastAsia="宋体"/>
          <w:sz w:val="32"/>
          <w:szCs w:val="32"/>
          <w:lang w:val="en-US" w:eastAsia="zh-CN"/>
        </w:rPr>
        <w:t>%]的喷头进行模拟测试），每次巡检后提交书面巡检报告，注明巡检结果、发现的问题及处理建议。</w:t>
      </w:r>
    </w:p>
    <w:p w14:paraId="5C0FB998">
      <w:pPr>
        <w:numPr>
          <w:ilvl w:val="0"/>
          <w:numId w:val="0"/>
        </w:numPr>
        <w:ind w:leftChars="0"/>
        <w:rPr>
          <w:rFonts w:hint="default" w:eastAsia="宋体"/>
          <w:sz w:val="32"/>
          <w:szCs w:val="32"/>
          <w:lang w:val="en-US" w:eastAsia="zh-CN"/>
        </w:rPr>
      </w:pPr>
      <w:r>
        <w:rPr>
          <w:rFonts w:hint="default" w:eastAsia="宋体"/>
          <w:sz w:val="32"/>
          <w:szCs w:val="32"/>
          <w:lang w:val="en-US" w:eastAsia="zh-CN"/>
        </w:rPr>
        <w:t>3. 维修更换服务：巡检或故障处理中发现需维修或更换的部件（如喷淋头、密封垫、管道接头等），施工单位需免费提供同型号、同规格的合格部件，并负责免费维修更换，确保维修更换后系统功能恢复正常，且维修更换记录需留存归档，供招标方查阅。</w:t>
      </w:r>
    </w:p>
    <w:p w14:paraId="374B7CD2">
      <w:pPr>
        <w:numPr>
          <w:ilvl w:val="0"/>
          <w:numId w:val="0"/>
        </w:numPr>
        <w:ind w:leftChars="0"/>
        <w:rPr>
          <w:rFonts w:hint="default" w:eastAsia="宋体"/>
          <w:sz w:val="32"/>
          <w:szCs w:val="32"/>
          <w:lang w:val="en-US" w:eastAsia="zh-CN"/>
        </w:rPr>
      </w:pPr>
      <w:r>
        <w:rPr>
          <w:rFonts w:hint="default" w:eastAsia="宋体"/>
          <w:sz w:val="32"/>
          <w:szCs w:val="32"/>
          <w:lang w:val="en-US" w:eastAsia="zh-CN"/>
        </w:rPr>
        <w:t>4. 技术支持服务：质保期内，施工单位需为</w:t>
      </w:r>
      <w:r>
        <w:rPr>
          <w:rFonts w:hint="eastAsia" w:eastAsia="宋体"/>
          <w:sz w:val="32"/>
          <w:szCs w:val="32"/>
          <w:lang w:val="en-US" w:eastAsia="zh-CN"/>
        </w:rPr>
        <w:t>甲</w:t>
      </w:r>
      <w:r>
        <w:rPr>
          <w:rFonts w:hint="default" w:eastAsia="宋体"/>
          <w:sz w:val="32"/>
          <w:szCs w:val="32"/>
          <w:lang w:val="en-US" w:eastAsia="zh-CN"/>
        </w:rPr>
        <w:t>方提供免费技术培训（不少于1次，培训对象为</w:t>
      </w:r>
      <w:r>
        <w:rPr>
          <w:rFonts w:hint="eastAsia" w:eastAsia="宋体"/>
          <w:sz w:val="32"/>
          <w:szCs w:val="32"/>
          <w:lang w:val="en-US" w:eastAsia="zh-CN"/>
        </w:rPr>
        <w:t>后勤</w:t>
      </w:r>
      <w:r>
        <w:rPr>
          <w:rFonts w:hint="default" w:eastAsia="宋体"/>
          <w:sz w:val="32"/>
          <w:szCs w:val="32"/>
          <w:lang w:val="en-US" w:eastAsia="zh-CN"/>
        </w:rPr>
        <w:t>管理人员或相关负责人员），培训内容包括喷淋头日常维护方法、故障识别技巧、系统简单操作流程等；同时提供24小时技术咨询热线，解答</w:t>
      </w:r>
      <w:r>
        <w:rPr>
          <w:rFonts w:hint="eastAsia" w:eastAsia="宋体"/>
          <w:sz w:val="32"/>
          <w:szCs w:val="32"/>
          <w:lang w:val="en-US" w:eastAsia="zh-CN"/>
        </w:rPr>
        <w:t>甲</w:t>
      </w:r>
      <w:r>
        <w:rPr>
          <w:rFonts w:hint="default" w:eastAsia="宋体"/>
          <w:sz w:val="32"/>
          <w:szCs w:val="32"/>
          <w:lang w:val="en-US" w:eastAsia="zh-CN"/>
        </w:rPr>
        <w:t>方在日常运维中遇到的技术问题。</w:t>
      </w:r>
    </w:p>
    <w:p w14:paraId="5E5D21A5">
      <w:pPr>
        <w:numPr>
          <w:ilvl w:val="0"/>
          <w:numId w:val="0"/>
        </w:numPr>
        <w:ind w:leftChars="0"/>
        <w:rPr>
          <w:rFonts w:hint="default" w:eastAsia="宋体"/>
          <w:sz w:val="32"/>
          <w:szCs w:val="32"/>
          <w:lang w:val="en-US" w:eastAsia="zh-CN"/>
        </w:rPr>
      </w:pPr>
      <w:r>
        <w:rPr>
          <w:rFonts w:hint="default" w:eastAsia="宋体"/>
          <w:sz w:val="32"/>
          <w:szCs w:val="32"/>
          <w:lang w:val="en-US" w:eastAsia="zh-CN"/>
        </w:rPr>
        <w:t>5.质保期满验收服务：质保期届满前[</w:t>
      </w:r>
      <w:r>
        <w:rPr>
          <w:rFonts w:hint="eastAsia" w:eastAsia="宋体"/>
          <w:sz w:val="32"/>
          <w:szCs w:val="32"/>
          <w:lang w:val="en-US" w:eastAsia="zh-CN"/>
        </w:rPr>
        <w:t>7</w:t>
      </w:r>
      <w:r>
        <w:rPr>
          <w:rFonts w:hint="default" w:eastAsia="宋体"/>
          <w:sz w:val="32"/>
          <w:szCs w:val="32"/>
          <w:lang w:val="en-US" w:eastAsia="zh-CN"/>
        </w:rPr>
        <w:t xml:space="preserve"> 天]，施工单位需配合</w:t>
      </w:r>
      <w:r>
        <w:rPr>
          <w:rFonts w:hint="eastAsia" w:eastAsia="宋体"/>
          <w:sz w:val="32"/>
          <w:szCs w:val="32"/>
          <w:lang w:val="en-US" w:eastAsia="zh-CN"/>
        </w:rPr>
        <w:t>甲</w:t>
      </w:r>
      <w:r>
        <w:rPr>
          <w:rFonts w:hint="default" w:eastAsia="宋体"/>
          <w:sz w:val="32"/>
          <w:szCs w:val="32"/>
          <w:lang w:val="en-US" w:eastAsia="zh-CN"/>
        </w:rPr>
        <w:t>方进行质保期满验收，提交质保期内所有服务记录（故障处理记录、巡检报告、维修更换记录、培训记录等），共同检查系统运行状态，确认无质量问题后，方可完成质保期验收；若验收发现问题，施工单位需在[</w:t>
      </w:r>
      <w:r>
        <w:rPr>
          <w:rFonts w:hint="eastAsia" w:eastAsia="宋体"/>
          <w:sz w:val="32"/>
          <w:szCs w:val="32"/>
          <w:lang w:val="en-US" w:eastAsia="zh-CN"/>
        </w:rPr>
        <w:t>5</w:t>
      </w:r>
      <w:r>
        <w:rPr>
          <w:rFonts w:hint="default" w:eastAsia="宋体"/>
          <w:sz w:val="32"/>
          <w:szCs w:val="32"/>
          <w:lang w:val="en-US" w:eastAsia="zh-CN"/>
        </w:rPr>
        <w:t>天]内完成整改，整改合格后方可验收通过。</w:t>
      </w:r>
    </w:p>
    <w:p w14:paraId="3C47192F">
      <w:pPr>
        <w:numPr>
          <w:ilvl w:val="0"/>
          <w:numId w:val="0"/>
        </w:numPr>
        <w:ind w:leftChars="0"/>
        <w:rPr>
          <w:rFonts w:hint="default" w:eastAsia="宋体"/>
          <w:sz w:val="21"/>
          <w:lang w:val="en-US" w:eastAsia="zh-CN"/>
        </w:rPr>
      </w:pPr>
    </w:p>
    <w:p w14:paraId="65FA5326">
      <w:pPr>
        <w:numPr>
          <w:ilvl w:val="0"/>
          <w:numId w:val="0"/>
        </w:numPr>
        <w:ind w:leftChars="0"/>
        <w:rPr>
          <w:rFonts w:hint="default" w:eastAsia="宋体"/>
          <w:sz w:val="21"/>
          <w:lang w:val="en-US" w:eastAsia="zh-CN"/>
        </w:rPr>
      </w:pPr>
    </w:p>
    <w:p w14:paraId="4006081A">
      <w:pPr>
        <w:numPr>
          <w:ilvl w:val="0"/>
          <w:numId w:val="0"/>
        </w:numPr>
        <w:ind w:leftChars="0"/>
        <w:rPr>
          <w:rFonts w:hint="default" w:eastAsia="宋体"/>
          <w:sz w:val="21"/>
          <w:lang w:val="en-US" w:eastAsia="zh-CN"/>
        </w:rPr>
      </w:pPr>
    </w:p>
    <w:p w14:paraId="48F5DE62">
      <w:pPr>
        <w:numPr>
          <w:ilvl w:val="0"/>
          <w:numId w:val="0"/>
        </w:numPr>
        <w:ind w:leftChars="0"/>
        <w:rPr>
          <w:rFonts w:hint="default" w:eastAsia="宋体"/>
          <w:sz w:val="21"/>
          <w:lang w:val="en-US" w:eastAsia="zh-CN"/>
        </w:rPr>
      </w:pPr>
    </w:p>
    <w:p w14:paraId="1EE8AE27">
      <w:pPr>
        <w:numPr>
          <w:ilvl w:val="0"/>
          <w:numId w:val="0"/>
        </w:numPr>
        <w:ind w:leftChars="0"/>
        <w:rPr>
          <w:rFonts w:hint="default" w:eastAsia="宋体"/>
          <w:sz w:val="21"/>
          <w:lang w:val="en-US" w:eastAsia="zh-CN"/>
        </w:rPr>
      </w:pPr>
    </w:p>
    <w:p w14:paraId="23A7D515">
      <w:pPr>
        <w:numPr>
          <w:ilvl w:val="0"/>
          <w:numId w:val="0"/>
        </w:numPr>
        <w:ind w:leftChars="0"/>
        <w:rPr>
          <w:rFonts w:hint="default" w:eastAsia="宋体"/>
          <w:sz w:val="21"/>
          <w:lang w:val="en-US" w:eastAsia="zh-CN"/>
        </w:rPr>
      </w:pPr>
    </w:p>
    <w:p w14:paraId="258FDA75">
      <w:pPr>
        <w:numPr>
          <w:ilvl w:val="0"/>
          <w:numId w:val="0"/>
        </w:numPr>
        <w:ind w:leftChars="0"/>
        <w:rPr>
          <w:rFonts w:hint="default" w:eastAsia="宋体"/>
          <w:sz w:val="21"/>
          <w:lang w:val="en-US" w:eastAsia="zh-CN"/>
        </w:rPr>
      </w:pPr>
    </w:p>
    <w:p w14:paraId="6BF01A6E">
      <w:pPr>
        <w:numPr>
          <w:ilvl w:val="0"/>
          <w:numId w:val="0"/>
        </w:numPr>
        <w:ind w:leftChars="0"/>
        <w:rPr>
          <w:rFonts w:hint="default" w:eastAsia="宋体"/>
          <w:sz w:val="21"/>
          <w:lang w:val="en-US" w:eastAsia="zh-CN"/>
        </w:rPr>
      </w:pPr>
    </w:p>
    <w:p w14:paraId="1A507056">
      <w:pPr>
        <w:numPr>
          <w:ilvl w:val="0"/>
          <w:numId w:val="0"/>
        </w:numPr>
        <w:ind w:leftChars="0"/>
        <w:rPr>
          <w:rFonts w:hint="default" w:eastAsia="宋体"/>
          <w:sz w:val="21"/>
          <w:lang w:val="en-US" w:eastAsia="zh-CN"/>
        </w:rPr>
      </w:pPr>
    </w:p>
    <w:p w14:paraId="4BE1080F">
      <w:pPr>
        <w:numPr>
          <w:ilvl w:val="0"/>
          <w:numId w:val="0"/>
        </w:numPr>
        <w:ind w:leftChars="0"/>
        <w:rPr>
          <w:rFonts w:hint="default" w:eastAsia="宋体"/>
          <w:sz w:val="21"/>
          <w:lang w:val="en-US" w:eastAsia="zh-CN"/>
        </w:rPr>
      </w:pPr>
    </w:p>
    <w:tbl>
      <w:tblPr>
        <w:tblStyle w:val="4"/>
        <w:tblpPr w:leftFromText="180" w:rightFromText="180" w:vertAnchor="page" w:horzAnchor="page" w:tblpX="1084" w:tblpY="1413"/>
        <w:tblOverlap w:val="never"/>
        <w:tblW w:w="908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1"/>
        <w:gridCol w:w="2024"/>
        <w:gridCol w:w="1846"/>
        <w:gridCol w:w="1968"/>
        <w:gridCol w:w="1994"/>
      </w:tblGrid>
      <w:tr w14:paraId="41A4E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9083" w:type="dxa"/>
            <w:gridSpan w:val="5"/>
            <w:vAlign w:val="top"/>
          </w:tcPr>
          <w:p w14:paraId="26B6D6A5">
            <w:pPr>
              <w:spacing w:before="81" w:line="203" w:lineRule="auto"/>
              <w:ind w:left="3125"/>
              <w:rPr>
                <w:rFonts w:hint="eastAsia" w:ascii="黑体" w:hAnsi="黑体" w:eastAsia="黑体" w:cs="黑体"/>
                <w:sz w:val="36"/>
                <w:szCs w:val="36"/>
                <w:lang w:eastAsia="zh-CN"/>
              </w:rPr>
            </w:pPr>
            <w:r>
              <w:rPr>
                <w:rFonts w:ascii="黑体" w:hAnsi="黑体" w:eastAsia="黑体" w:cs="黑体"/>
                <w:spacing w:val="-3"/>
                <w:sz w:val="36"/>
                <w:szCs w:val="36"/>
              </w:rPr>
              <w:t>喷淋头更换</w:t>
            </w:r>
            <w:r>
              <w:rPr>
                <w:rFonts w:hint="eastAsia" w:ascii="黑体" w:hAnsi="黑体" w:eastAsia="黑体" w:cs="黑体"/>
                <w:spacing w:val="-3"/>
                <w:sz w:val="36"/>
                <w:szCs w:val="36"/>
                <w:lang w:val="en-US" w:eastAsia="zh-CN"/>
              </w:rPr>
              <w:t>报价单</w:t>
            </w:r>
          </w:p>
        </w:tc>
      </w:tr>
      <w:tr w14:paraId="74800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251" w:type="dxa"/>
            <w:vAlign w:val="top"/>
          </w:tcPr>
          <w:p w14:paraId="1FD5C1F6">
            <w:pPr>
              <w:pStyle w:val="5"/>
              <w:spacing w:before="128" w:line="221" w:lineRule="auto"/>
              <w:ind w:left="391"/>
            </w:pPr>
            <w:r>
              <w:rPr>
                <w:spacing w:val="-5"/>
              </w:rPr>
              <w:t>序号</w:t>
            </w:r>
          </w:p>
        </w:tc>
        <w:tc>
          <w:tcPr>
            <w:tcW w:w="2024" w:type="dxa"/>
            <w:vAlign w:val="top"/>
          </w:tcPr>
          <w:p w14:paraId="6868BA88">
            <w:pPr>
              <w:pStyle w:val="5"/>
              <w:spacing w:before="128" w:line="221" w:lineRule="auto"/>
              <w:ind w:left="778"/>
            </w:pPr>
            <w:r>
              <w:rPr>
                <w:spacing w:val="-5"/>
              </w:rPr>
              <w:t>位置</w:t>
            </w:r>
          </w:p>
        </w:tc>
        <w:tc>
          <w:tcPr>
            <w:tcW w:w="1846" w:type="dxa"/>
            <w:vAlign w:val="top"/>
          </w:tcPr>
          <w:p w14:paraId="140416A2">
            <w:pPr>
              <w:pStyle w:val="5"/>
              <w:spacing w:before="128" w:line="219" w:lineRule="auto"/>
              <w:ind w:left="695"/>
            </w:pPr>
            <w:r>
              <w:rPr>
                <w:spacing w:val="-6"/>
              </w:rPr>
              <w:t>数量</w:t>
            </w:r>
          </w:p>
        </w:tc>
        <w:tc>
          <w:tcPr>
            <w:tcW w:w="1968" w:type="dxa"/>
            <w:vAlign w:val="top"/>
          </w:tcPr>
          <w:p w14:paraId="6A1FA55C">
            <w:pPr>
              <w:pStyle w:val="5"/>
              <w:spacing w:before="128" w:line="218" w:lineRule="auto"/>
              <w:ind w:left="399"/>
            </w:pPr>
            <w:r>
              <w:rPr>
                <w:spacing w:val="-3"/>
              </w:rPr>
              <w:t>单价（元）</w:t>
            </w:r>
          </w:p>
        </w:tc>
        <w:tc>
          <w:tcPr>
            <w:tcW w:w="1994" w:type="dxa"/>
            <w:vAlign w:val="top"/>
          </w:tcPr>
          <w:p w14:paraId="227F83B2">
            <w:pPr>
              <w:pStyle w:val="5"/>
              <w:spacing w:before="128" w:line="219" w:lineRule="auto"/>
              <w:ind w:left="411"/>
            </w:pPr>
            <w:r>
              <w:rPr>
                <w:spacing w:val="-3"/>
              </w:rPr>
              <w:t>金额（元）</w:t>
            </w:r>
          </w:p>
        </w:tc>
      </w:tr>
      <w:tr w14:paraId="38FE7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251" w:type="dxa"/>
            <w:vAlign w:val="top"/>
          </w:tcPr>
          <w:p w14:paraId="5D659577">
            <w:pPr>
              <w:pStyle w:val="5"/>
              <w:spacing w:before="134" w:line="241" w:lineRule="auto"/>
              <w:ind w:left="590"/>
            </w:pPr>
            <w:r>
              <w:t>1</w:t>
            </w:r>
          </w:p>
        </w:tc>
        <w:tc>
          <w:tcPr>
            <w:tcW w:w="2024" w:type="dxa"/>
            <w:vAlign w:val="top"/>
          </w:tcPr>
          <w:p w14:paraId="52546B92">
            <w:pPr>
              <w:pStyle w:val="5"/>
              <w:spacing w:before="134" w:line="219" w:lineRule="auto"/>
              <w:ind w:left="544"/>
            </w:pPr>
            <w:r>
              <w:rPr>
                <w:spacing w:val="-4"/>
              </w:rPr>
              <w:t>高层公寓</w:t>
            </w:r>
          </w:p>
        </w:tc>
        <w:tc>
          <w:tcPr>
            <w:tcW w:w="1846" w:type="dxa"/>
            <w:vAlign w:val="top"/>
          </w:tcPr>
          <w:p w14:paraId="5754207B">
            <w:pPr>
              <w:pStyle w:val="5"/>
              <w:spacing w:before="133"/>
              <w:ind w:left="758"/>
            </w:pPr>
            <w:r>
              <w:rPr>
                <w:spacing w:val="-5"/>
              </w:rPr>
              <w:t>545</w:t>
            </w:r>
          </w:p>
        </w:tc>
        <w:tc>
          <w:tcPr>
            <w:tcW w:w="1968" w:type="dxa"/>
            <w:vAlign w:val="top"/>
          </w:tcPr>
          <w:p w14:paraId="76BE6AD8">
            <w:pPr>
              <w:pStyle w:val="5"/>
              <w:spacing w:before="133"/>
              <w:ind w:left="879"/>
            </w:pPr>
          </w:p>
        </w:tc>
        <w:tc>
          <w:tcPr>
            <w:tcW w:w="1994" w:type="dxa"/>
            <w:vAlign w:val="top"/>
          </w:tcPr>
          <w:p w14:paraId="38CD1005">
            <w:pPr>
              <w:pStyle w:val="5"/>
              <w:spacing w:before="133"/>
              <w:ind w:left="714"/>
            </w:pPr>
          </w:p>
        </w:tc>
      </w:tr>
      <w:tr w14:paraId="3B274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251" w:type="dxa"/>
            <w:vAlign w:val="top"/>
          </w:tcPr>
          <w:p w14:paraId="6425EFB4">
            <w:pPr>
              <w:pStyle w:val="5"/>
              <w:spacing w:before="133" w:line="241" w:lineRule="auto"/>
              <w:ind w:left="575"/>
            </w:pPr>
            <w:r>
              <w:t>2</w:t>
            </w:r>
          </w:p>
        </w:tc>
        <w:tc>
          <w:tcPr>
            <w:tcW w:w="2024" w:type="dxa"/>
            <w:vAlign w:val="top"/>
          </w:tcPr>
          <w:p w14:paraId="5659A0D8">
            <w:pPr>
              <w:pStyle w:val="5"/>
              <w:spacing w:before="134" w:line="219" w:lineRule="auto"/>
              <w:ind w:left="539"/>
            </w:pPr>
            <w:r>
              <w:rPr>
                <w:spacing w:val="-3"/>
              </w:rPr>
              <w:t>众创空间</w:t>
            </w:r>
          </w:p>
        </w:tc>
        <w:tc>
          <w:tcPr>
            <w:tcW w:w="1846" w:type="dxa"/>
            <w:vAlign w:val="top"/>
          </w:tcPr>
          <w:p w14:paraId="3D3EBC4C">
            <w:pPr>
              <w:pStyle w:val="5"/>
              <w:spacing w:before="133"/>
              <w:ind w:left="816"/>
            </w:pPr>
            <w:r>
              <w:rPr>
                <w:spacing w:val="-7"/>
              </w:rPr>
              <w:t>20</w:t>
            </w:r>
          </w:p>
        </w:tc>
        <w:tc>
          <w:tcPr>
            <w:tcW w:w="1968" w:type="dxa"/>
            <w:vAlign w:val="top"/>
          </w:tcPr>
          <w:p w14:paraId="1C510AC0">
            <w:pPr>
              <w:pStyle w:val="5"/>
              <w:spacing w:before="133"/>
              <w:ind w:left="879"/>
            </w:pPr>
          </w:p>
        </w:tc>
        <w:tc>
          <w:tcPr>
            <w:tcW w:w="1994" w:type="dxa"/>
            <w:vAlign w:val="top"/>
          </w:tcPr>
          <w:p w14:paraId="5B23701D">
            <w:pPr>
              <w:pStyle w:val="5"/>
              <w:spacing w:before="133"/>
              <w:ind w:left="787"/>
            </w:pPr>
          </w:p>
        </w:tc>
      </w:tr>
      <w:tr w14:paraId="3F35F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251" w:type="dxa"/>
            <w:vAlign w:val="top"/>
          </w:tcPr>
          <w:p w14:paraId="180783B0">
            <w:pPr>
              <w:pStyle w:val="5"/>
              <w:spacing w:before="135"/>
              <w:ind w:left="577"/>
            </w:pPr>
            <w:r>
              <w:t>3</w:t>
            </w:r>
          </w:p>
        </w:tc>
        <w:tc>
          <w:tcPr>
            <w:tcW w:w="2024" w:type="dxa"/>
            <w:vAlign w:val="top"/>
          </w:tcPr>
          <w:p w14:paraId="48AEEE92">
            <w:pPr>
              <w:pStyle w:val="5"/>
              <w:spacing w:before="135" w:line="221" w:lineRule="auto"/>
              <w:ind w:left="558"/>
            </w:pPr>
            <w:r>
              <w:rPr>
                <w:spacing w:val="-8"/>
              </w:rPr>
              <w:t>闻德礼堂</w:t>
            </w:r>
          </w:p>
        </w:tc>
        <w:tc>
          <w:tcPr>
            <w:tcW w:w="1846" w:type="dxa"/>
            <w:vAlign w:val="top"/>
          </w:tcPr>
          <w:p w14:paraId="7EB19776">
            <w:pPr>
              <w:pStyle w:val="5"/>
              <w:spacing w:before="135"/>
              <w:ind w:left="831"/>
            </w:pPr>
            <w:r>
              <w:rPr>
                <w:spacing w:val="-14"/>
              </w:rPr>
              <w:t>15</w:t>
            </w:r>
          </w:p>
        </w:tc>
        <w:tc>
          <w:tcPr>
            <w:tcW w:w="1968" w:type="dxa"/>
            <w:vAlign w:val="top"/>
          </w:tcPr>
          <w:p w14:paraId="13161CA4">
            <w:pPr>
              <w:pStyle w:val="5"/>
              <w:spacing w:before="135"/>
              <w:ind w:left="879"/>
            </w:pPr>
          </w:p>
        </w:tc>
        <w:tc>
          <w:tcPr>
            <w:tcW w:w="1994" w:type="dxa"/>
            <w:vAlign w:val="top"/>
          </w:tcPr>
          <w:p w14:paraId="4470A5B8">
            <w:pPr>
              <w:pStyle w:val="5"/>
              <w:spacing w:before="135"/>
              <w:ind w:left="830"/>
            </w:pPr>
          </w:p>
        </w:tc>
      </w:tr>
      <w:tr w14:paraId="4DA95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9083" w:type="dxa"/>
            <w:gridSpan w:val="5"/>
            <w:vAlign w:val="top"/>
          </w:tcPr>
          <w:p w14:paraId="3B007C1A">
            <w:pPr>
              <w:pStyle w:val="5"/>
              <w:spacing w:before="138" w:line="219" w:lineRule="auto"/>
              <w:jc w:val="both"/>
            </w:pPr>
            <w:r>
              <w:rPr>
                <w:spacing w:val="-2"/>
              </w:rPr>
              <w:t>金额合计：</w:t>
            </w:r>
          </w:p>
        </w:tc>
      </w:tr>
      <w:tr w14:paraId="5B3C4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0" w:hRule="atLeast"/>
        </w:trPr>
        <w:tc>
          <w:tcPr>
            <w:tcW w:w="9083" w:type="dxa"/>
            <w:gridSpan w:val="5"/>
            <w:vAlign w:val="top"/>
          </w:tcPr>
          <w:p w14:paraId="3F6C5DA4">
            <w:pPr>
              <w:pStyle w:val="5"/>
              <w:spacing w:before="63" w:line="218" w:lineRule="auto"/>
              <w:ind w:left="130"/>
              <w:jc w:val="left"/>
              <w:rPr>
                <w:sz w:val="22"/>
                <w:szCs w:val="22"/>
              </w:rPr>
            </w:pPr>
            <w:r>
              <w:rPr>
                <w:spacing w:val="1"/>
                <w:sz w:val="22"/>
                <w:szCs w:val="22"/>
              </w:rPr>
              <w:t>注：</w:t>
            </w:r>
            <w:r>
              <w:rPr>
                <w:rFonts w:hint="eastAsia"/>
                <w:spacing w:val="1"/>
                <w:sz w:val="22"/>
                <w:szCs w:val="22"/>
                <w:lang w:val="en-US" w:eastAsia="zh-CN"/>
              </w:rPr>
              <w:t>费用</w:t>
            </w:r>
            <w:r>
              <w:rPr>
                <w:spacing w:val="1"/>
                <w:sz w:val="22"/>
                <w:szCs w:val="22"/>
              </w:rPr>
              <w:t>包含材料费、旧件拆卸费用、新件安装费用。质保期为三个月，因天气因素造成的喷淋头破损不在质保范围内；更换期</w:t>
            </w:r>
            <w:r>
              <w:rPr>
                <w:sz w:val="22"/>
                <w:szCs w:val="22"/>
              </w:rPr>
              <w:t>间不能影响师生正常工作、生活和学习，因安装不到位造成的漏水情况施工单位需24小时内完成整改，并对漏水所造成的损失进</w:t>
            </w:r>
            <w:r>
              <w:rPr>
                <w:spacing w:val="-2"/>
                <w:sz w:val="22"/>
                <w:szCs w:val="22"/>
              </w:rPr>
              <w:t>行全额赔偿。</w:t>
            </w:r>
            <w:r>
              <w:rPr>
                <w:rFonts w:hint="eastAsia"/>
                <w:spacing w:val="-2"/>
                <w:sz w:val="22"/>
                <w:szCs w:val="22"/>
              </w:rPr>
              <w:t>本项目各分项报价均为含税全费用价格，已包含但不限于税金、管理费、人工费、运输费、利润、风险费等完成本项目全部工作内容所需的一切费用。</w:t>
            </w:r>
          </w:p>
        </w:tc>
      </w:tr>
    </w:tbl>
    <w:p w14:paraId="769723F2">
      <w:pPr>
        <w:numPr>
          <w:ilvl w:val="0"/>
          <w:numId w:val="0"/>
        </w:numPr>
        <w:ind w:leftChars="0"/>
        <w:rPr>
          <w:rFonts w:hint="default" w:eastAsia="宋体"/>
          <w:sz w:val="21"/>
          <w:lang w:val="en-US" w:eastAsia="zh-CN"/>
        </w:rPr>
      </w:pPr>
    </w:p>
    <w:p w14:paraId="32B9796A">
      <w:pPr>
        <w:numPr>
          <w:ilvl w:val="0"/>
          <w:numId w:val="0"/>
        </w:numPr>
        <w:ind w:leftChars="0"/>
        <w:rPr>
          <w:rFonts w:hint="default" w:eastAsia="宋体"/>
          <w:sz w:val="21"/>
          <w:lang w:val="en-US" w:eastAsia="zh-CN"/>
        </w:rPr>
      </w:pPr>
    </w:p>
    <w:p w14:paraId="5D020D7D">
      <w:pPr>
        <w:numPr>
          <w:ilvl w:val="0"/>
          <w:numId w:val="0"/>
        </w:numPr>
        <w:ind w:leftChars="0"/>
        <w:rPr>
          <w:rFonts w:hint="default" w:eastAsia="宋体"/>
          <w:sz w:val="21"/>
          <w:lang w:val="en-US" w:eastAsia="zh-CN"/>
        </w:rPr>
      </w:pPr>
      <w:bookmarkStart w:id="0" w:name="_GoBack"/>
      <w:bookmarkEnd w:id="0"/>
    </w:p>
    <w:sectPr>
      <w:pgSz w:w="11906" w:h="16838"/>
      <w:pgMar w:top="1427" w:right="1734" w:bottom="0" w:left="106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CE5D5"/>
    <w:multiLevelType w:val="singleLevel"/>
    <w:tmpl w:val="ADCCE5D5"/>
    <w:lvl w:ilvl="0" w:tentative="0">
      <w:start w:val="1"/>
      <w:numFmt w:val="decimal"/>
      <w:suff w:val="space"/>
      <w:lvlText w:val="%1."/>
      <w:lvlJc w:val="left"/>
    </w:lvl>
  </w:abstractNum>
  <w:abstractNum w:abstractNumId="1">
    <w:nsid w:val="C72E261F"/>
    <w:multiLevelType w:val="singleLevel"/>
    <w:tmpl w:val="C72E261F"/>
    <w:lvl w:ilvl="0" w:tentative="0">
      <w:start w:val="1"/>
      <w:numFmt w:val="decimal"/>
      <w:lvlText w:val="%1."/>
      <w:lvlJc w:val="left"/>
      <w:pPr>
        <w:tabs>
          <w:tab w:val="left" w:pos="312"/>
        </w:tabs>
      </w:pPr>
    </w:lvl>
  </w:abstractNum>
  <w:abstractNum w:abstractNumId="2">
    <w:nsid w:val="F1CEB06D"/>
    <w:multiLevelType w:val="singleLevel"/>
    <w:tmpl w:val="F1CEB06D"/>
    <w:lvl w:ilvl="0" w:tentative="0">
      <w:start w:val="1"/>
      <w:numFmt w:val="chineseCounting"/>
      <w:suff w:val="nothing"/>
      <w:lvlText w:val="（%1）"/>
      <w:lvlJc w:val="left"/>
      <w:rPr>
        <w:rFonts w:hint="eastAsia"/>
      </w:rPr>
    </w:lvl>
  </w:abstractNum>
  <w:abstractNum w:abstractNumId="3">
    <w:nsid w:val="2B20E7DF"/>
    <w:multiLevelType w:val="singleLevel"/>
    <w:tmpl w:val="2B20E7DF"/>
    <w:lvl w:ilvl="0" w:tentative="0">
      <w:start w:val="1"/>
      <w:numFmt w:val="decimal"/>
      <w:suff w:val="space"/>
      <w:lvlText w:val="%1."/>
      <w:lvlJc w:val="left"/>
    </w:lvl>
  </w:abstractNum>
  <w:abstractNum w:abstractNumId="4">
    <w:nsid w:val="356D70B6"/>
    <w:multiLevelType w:val="singleLevel"/>
    <w:tmpl w:val="356D70B6"/>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2878DD"/>
    <w:rsid w:val="18BA5201"/>
    <w:rsid w:val="349573B7"/>
    <w:rsid w:val="531726CA"/>
    <w:rsid w:val="5A3317D1"/>
    <w:rsid w:val="79170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2562</Words>
  <Characters>2727</Characters>
  <TotalTime>4</TotalTime>
  <ScaleCrop>false</ScaleCrop>
  <LinksUpToDate>false</LinksUpToDate>
  <CharactersWithSpaces>2769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2026-01-05T07:13:00Z</dcterms:created>
  <dc:creator>睢文超</dc:creator>
  <cp:lastModifiedBy>喊我刘肉肉</cp:lastModifiedBy>
  <dcterms:modified xsi:type="dcterms:W3CDTF">2026-01-08T09:14:35Z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2026-01-05T15:13:42Z</vt:filetime>
  </property>
  <property fmtid="{D5CDD505-2E9C-101B-9397-08002B2CF9AE}" pid="4" name="KSOTemplateDocerSaveRecord">
    <vt:lpwstr>eyJoZGlkIjoiN2EzM2IxMmU1MmZiODIxMmE0OGI3MzQxZmZkNmIwYzUiLCJ1c2VySWQiOiI1MDQ4NDY1NTkifQ==</vt:lpwstr>
  </property>
  <property fmtid="{D5CDD505-2E9C-101B-9397-08002B2CF9AE}" pid="5" name="KSOProductBuildVer">
    <vt:lpwstr>2052-12.1.0.24034</vt:lpwstr>
  </property>
  <property fmtid="{D5CDD505-2E9C-101B-9397-08002B2CF9AE}" pid="6" name="ICV">
    <vt:lpwstr>D233A14C03BE4FAEB26E8EA4E78CE666_12</vt:lpwstr>
  </property>
</Properties>
</file>