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hAnsi="宋体" w:eastAsia="宋体"/>
          <w:color w:val="FF0000"/>
          <w:sz w:val="128"/>
          <w:szCs w:val="128"/>
        </w:rPr>
      </w:pPr>
      <w:bookmarkStart w:id="2" w:name="_GoBack"/>
      <w:bookmarkEnd w:id="2"/>
    </w:p>
    <w:p>
      <w:pPr>
        <w:snapToGrid w:val="0"/>
        <w:jc w:val="center"/>
        <w:rPr>
          <w:rFonts w:ascii="方正小标宋简体" w:hAnsi="华文中宋" w:eastAsia="方正小标宋简体"/>
          <w:color w:val="FF0000"/>
          <w:spacing w:val="20"/>
          <w:position w:val="-40"/>
          <w:sz w:val="120"/>
          <w:szCs w:val="120"/>
        </w:rPr>
      </w:pPr>
      <w:r>
        <w:rPr>
          <w:rFonts w:hint="eastAsia" w:ascii="方正小标宋简体" w:hAnsi="华文中宋" w:eastAsia="方正小标宋简体"/>
          <w:color w:val="FF0000"/>
          <w:spacing w:val="20"/>
          <w:position w:val="-40"/>
          <w:sz w:val="120"/>
          <w:szCs w:val="120"/>
        </w:rPr>
        <w:t>豫北医学院文件</w:t>
      </w:r>
    </w:p>
    <w:p>
      <w:pPr>
        <w:adjustRightInd w:val="0"/>
        <w:snapToGrid w:val="0"/>
        <w:spacing w:line="360" w:lineRule="auto"/>
        <w:jc w:val="center"/>
        <w:rPr>
          <w:rFonts w:hint="eastAsia" w:ascii="仿宋_GB2312"/>
          <w:szCs w:val="32"/>
        </w:rPr>
      </w:pPr>
    </w:p>
    <w:p>
      <w:pPr>
        <w:adjustRightInd w:val="0"/>
        <w:snapToGrid w:val="0"/>
        <w:spacing w:line="360" w:lineRule="auto"/>
        <w:jc w:val="center"/>
        <w:rPr>
          <w:rFonts w:hint="eastAsia" w:ascii="仿宋_GB2312"/>
          <w:szCs w:val="32"/>
        </w:rPr>
      </w:pPr>
    </w:p>
    <w:p>
      <w:pPr>
        <w:adjustRightInd w:val="0"/>
        <w:snapToGrid w:val="0"/>
        <w:spacing w:line="360" w:lineRule="auto"/>
        <w:jc w:val="center"/>
        <w:rPr>
          <w:rFonts w:ascii="仿宋_GB2312"/>
          <w:szCs w:val="32"/>
        </w:rPr>
      </w:pPr>
      <w:bookmarkStart w:id="0" w:name="doc_mark"/>
      <w:r>
        <w:rPr>
          <w:rFonts w:hint="eastAsia" w:ascii="仿宋_GB2312"/>
          <w:szCs w:val="32"/>
          <w:lang w:eastAsia="zh-CN"/>
        </w:rPr>
        <w:t>校发〔2026〕78号</w:t>
      </w:r>
      <w:bookmarkEnd w:id="0"/>
      <w:r>
        <w:rPr>
          <w:rFonts w:ascii="仿宋_GB2312" w:cs="仿宋_GB2312"/>
          <w:szCs w:val="3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364490</wp:posOffset>
                </wp:positionV>
                <wp:extent cx="5715000" cy="1270"/>
                <wp:effectExtent l="0" t="9525" r="12065" b="16510"/>
                <wp:wrapNone/>
                <wp:docPr id="1" name="Line 16"/>
                <wp:cNvGraphicFramePr/>
                <a:graphic xmlns:a="http://schemas.openxmlformats.org/drawingml/2006/main">
                  <a:graphicData uri="http://schemas.microsoft.com/office/word/2010/wordprocessingShape">
                    <wps:wsp>
                      <wps:cNvCnPr/>
                      <wps:spPr bwMode="auto">
                        <a:xfrm>
                          <a:off x="0" y="0"/>
                          <a:ext cx="5715000" cy="1270"/>
                        </a:xfrm>
                        <a:prstGeom prst="line">
                          <a:avLst/>
                        </a:prstGeom>
                        <a:ln w="19050" cap="flat" cmpd="sng">
                          <a:solidFill>
                            <a:srgbClr val="FF0000"/>
                          </a:solidFill>
                          <a:prstDash val="solid"/>
                          <a:headEnd type="none" w="med" len="med"/>
                          <a:tailEnd type="none" w="med" len="med"/>
                        </a:ln>
                      </wps:spPr>
                      <wps:bodyPr rot="0">
                        <a:noAutofit/>
                      </wps:bodyPr>
                    </wps:wsp>
                  </a:graphicData>
                </a:graphic>
              </wp:anchor>
            </w:drawing>
          </mc:Choice>
          <mc:Fallback>
            <w:pict>
              <v:line id="Line 16" o:spid="_x0000_s1026" o:spt="20" style="position:absolute;left:0pt;margin-left:-1.65pt;margin-top:28.7pt;height:0.1pt;width:450pt;z-index:251659264;mso-width-relative:page;mso-height-relative:page;" filled="f" stroked="t" coordsize="21600,21600" o:gfxdata="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MbJ8X2QAAAAgBAAAPAAAAAAAAAAEAIAAAADgAAABk&#10;cnMvZG93bnJldi54bWxQSwECFAAUAAAACACHTuJA2yKxUO8BAAACBAAADgAAAAAAAAABACAAAAA+&#10;AQAAZHJzL2Uyb0RvYy54bWxQSwUGAAAAAAYABgBZAQAAnwUAAAAA&#10;">
                <v:fill on="f" focussize="0,0"/>
                <v:stroke weight="1.5pt" color="#FF0000" joinstyle="round"/>
                <v:imagedata o:title=""/>
                <o:lock v:ext="edit" aspectratio="f"/>
              </v:line>
            </w:pict>
          </mc:Fallback>
        </mc:AlternateContent>
      </w:r>
    </w:p>
    <w:p>
      <w:pPr>
        <w:adjustRightInd w:val="0"/>
        <w:snapToGrid w:val="0"/>
        <w:spacing w:line="360" w:lineRule="auto"/>
        <w:jc w:val="center"/>
        <w:rPr>
          <w:rFonts w:hint="eastAsia" w:ascii="仿宋_GB2312"/>
        </w:rPr>
      </w:pP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hint="eastAsia" w:ascii="方正小标宋简体" w:hAnsi="方正小标宋简体" w:eastAsia="方正小标宋简体" w:cs="方正小标宋简体"/>
          <w:snapToGrid/>
          <w:color w:val="000000"/>
          <w:kern w:val="2"/>
          <w:sz w:val="44"/>
          <w:szCs w:val="44"/>
        </w:rPr>
      </w:pPr>
      <w:r>
        <w:rPr>
          <w:rFonts w:ascii="方正小标宋简体" w:hAnsi="方正小标宋简体" w:eastAsia="方正小标宋简体" w:cs="方正小标宋简体"/>
          <w:snapToGrid/>
          <w:color w:val="000000"/>
          <w:kern w:val="2"/>
          <w:sz w:val="44"/>
        </w:rPr>
        <w:t>关于印发《</w:t>
      </w:r>
      <w:r>
        <w:rPr>
          <w:rFonts w:hint="eastAsia" w:ascii="方正小标宋简体" w:hAnsi="Times New Roman" w:eastAsia="方正小标宋简体" w:cs="Times New Roman"/>
          <w:snapToGrid/>
          <w:kern w:val="2"/>
          <w:sz w:val="44"/>
          <w:szCs w:val="44"/>
        </w:rPr>
        <w:t>豫北医学院经济合同管理办法</w:t>
      </w:r>
      <w:r>
        <w:rPr>
          <w:rFonts w:ascii="方正小标宋简体" w:hAnsi="方正小标宋简体" w:eastAsia="方正小标宋简体" w:cs="方正小标宋简体"/>
          <w:snapToGrid/>
          <w:color w:val="000000"/>
          <w:kern w:val="2"/>
          <w:sz w:val="44"/>
        </w:rPr>
        <w:t>》</w:t>
      </w:r>
    </w:p>
    <w:p>
      <w:pPr>
        <w:suppressLineNumbers w:val="0"/>
        <w:kinsoku/>
        <w:wordWrap/>
        <w:overflowPunct/>
        <w:topLinePunct w:val="0"/>
        <w:autoSpaceDE/>
        <w:autoSpaceDN/>
        <w:adjustRightInd w:val="0"/>
        <w:snapToGrid w:val="0"/>
        <w:spacing w:before="0" w:beforeAutospacing="0" w:after="0" w:afterAutospacing="0" w:line="240" w:lineRule="auto"/>
        <w:contextualSpacing w:val="0"/>
        <w:jc w:val="center"/>
        <w:rPr>
          <w:rFonts w:hint="default" w:ascii="方正小标宋简体" w:hAnsi="Times New Roman" w:eastAsia="方正小标宋简体" w:cs="Times New Roman"/>
          <w:snapToGrid/>
          <w:kern w:val="2"/>
          <w:sz w:val="44"/>
          <w:szCs w:val="44"/>
        </w:rPr>
      </w:pPr>
      <w:r>
        <w:rPr>
          <w:rFonts w:ascii="方正小标宋简体" w:hAnsi="方正小标宋简体" w:eastAsia="方正小标宋简体" w:cs="方正小标宋简体"/>
          <w:snapToGrid/>
          <w:color w:val="000000"/>
          <w:kern w:val="2"/>
          <w:sz w:val="44"/>
        </w:rPr>
        <w:t>的通知</w:t>
      </w:r>
    </w:p>
    <w:p>
      <w:pPr>
        <w:pBdr>
          <w:top w:val="none" w:color="000000" w:sz="0" w:space="0"/>
          <w:left w:val="none" w:color="000000" w:sz="0" w:space="0"/>
          <w:bottom w:val="none" w:color="000000" w:sz="0" w:space="0"/>
          <w:right w:val="none" w:color="000000" w:sz="0" w:space="0"/>
        </w:pBdr>
        <w:spacing w:before="0" w:after="0" w:line="57" w:lineRule="atLeast"/>
        <w:ind w:left="0" w:right="0" w:firstLine="0" w:firstLineChars="0"/>
        <w:jc w:val="both"/>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snapToGrid/>
          <w:kern w:val="2"/>
        </w:rPr>
      </w:pPr>
      <w:r>
        <w:rPr>
          <w:rFonts w:ascii="仿宋_GB2312" w:hAnsi="仿宋_GB2312" w:eastAsia="仿宋_GB2312" w:cs="仿宋_GB2312"/>
          <w:snapToGrid/>
          <w:color w:val="000000"/>
          <w:kern w:val="2"/>
          <w:sz w:val="32"/>
        </w:rPr>
        <w:t>学校各单位：</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snapToGrid/>
          <w:kern w:val="2"/>
        </w:rPr>
      </w:pPr>
      <w:r>
        <w:rPr>
          <w:rFonts w:ascii="仿宋_GB2312" w:hAnsi="仿宋_GB2312" w:eastAsia="仿宋_GB2312" w:cs="仿宋_GB2312"/>
          <w:snapToGrid/>
          <w:color w:val="000000"/>
          <w:kern w:val="2"/>
          <w:sz w:val="32"/>
        </w:rPr>
        <w:t xml:space="preserve">    现将《豫北医学院经济合同管理办法》印发给你们，望遵照执行。</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beforeAutospacing="0" w:after="0" w:afterAutospacing="0" w:line="360" w:lineRule="auto"/>
        <w:ind w:left="0" w:right="640" w:firstLine="0" w:firstLineChars="0"/>
        <w:contextualSpacing w:val="0"/>
        <w:jc w:val="both"/>
        <w:rPr>
          <w:snapToGrid/>
          <w:kern w:val="2"/>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beforeAutospacing="0" w:after="0" w:afterAutospacing="0" w:line="360" w:lineRule="auto"/>
        <w:ind w:left="0" w:right="640" w:firstLine="0" w:firstLineChars="0"/>
        <w:contextualSpacing w:val="0"/>
        <w:jc w:val="center"/>
        <w:rPr>
          <w:snapToGrid/>
          <w:kern w:val="2"/>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beforeAutospacing="0" w:after="0" w:afterAutospacing="0" w:line="360" w:lineRule="auto"/>
        <w:ind w:left="0" w:right="1760" w:firstLine="0" w:firstLineChars="0"/>
        <w:contextualSpacing w:val="0"/>
        <w:jc w:val="right"/>
        <w:rPr>
          <w:snapToGrid/>
          <w:kern w:val="2"/>
        </w:rPr>
      </w:pPr>
      <w:r>
        <w:rPr>
          <w:rFonts w:ascii="仿宋_GB2312" w:hAnsi="仿宋_GB2312" w:eastAsia="仿宋_GB2312" w:cs="仿宋_GB2312"/>
          <w:snapToGrid/>
          <w:color w:val="000000"/>
          <w:kern w:val="2"/>
          <w:sz w:val="32"/>
        </w:rPr>
        <w:t>豫北医学院</w:t>
      </w:r>
    </w:p>
    <w:p>
      <w:pPr>
        <w:suppressLineNumbers w:val="0"/>
        <w:kinsoku/>
        <w:wordWrap/>
        <w:overflowPunct/>
        <w:topLinePunct w:val="0"/>
        <w:autoSpaceDE/>
        <w:autoSpaceDN/>
        <w:adjustRightInd/>
        <w:snapToGrid w:val="0"/>
        <w:spacing w:before="0" w:beforeAutospacing="0" w:after="0" w:afterAutospacing="0" w:line="360" w:lineRule="auto"/>
        <w:contextualSpacing w:val="0"/>
        <w:jc w:val="center"/>
        <w:rPr>
          <w:rFonts w:ascii="仿宋_GB2312" w:hAnsi="仿宋_GB2312" w:eastAsia="仿宋_GB2312" w:cs="仿宋_GB2312"/>
          <w:snapToGrid/>
          <w:color w:val="000000"/>
          <w:sz w:val="32"/>
          <w:szCs w:val="32"/>
        </w:rPr>
        <w:sectPr>
          <w:headerReference r:id="rId3" w:type="default"/>
          <w:footerReference r:id="rId4" w:type="default"/>
          <w:footerReference r:id="rId5" w:type="even"/>
          <w:pgSz w:w="11906" w:h="16838"/>
          <w:pgMar w:top="2098" w:right="1327" w:bottom="1588" w:left="1644" w:header="720" w:footer="720" w:gutter="0"/>
          <w:cols w:space="425" w:num="1"/>
          <w:docGrid w:type="linesAndChars" w:linePitch="597" w:charSpace="-183"/>
        </w:sectPr>
      </w:pPr>
      <w:r>
        <w:rPr>
          <w:rFonts w:ascii="仿宋_GB2312" w:hAnsi="仿宋_GB2312" w:eastAsia="仿宋_GB2312" w:cs="仿宋_GB2312"/>
          <w:snapToGrid/>
          <w:color w:val="000000"/>
          <w:kern w:val="2"/>
          <w:sz w:val="32"/>
        </w:rPr>
        <w:t xml:space="preserve">                        2026年6月17日</w:t>
      </w:r>
    </w:p>
    <w:p>
      <w:pPr>
        <w:snapToGrid w:val="0"/>
        <w:spacing w:line="240" w:lineRule="atLeast"/>
        <w:jc w:val="center"/>
        <w:rPr>
          <w:rFonts w:hint="default" w:ascii="方正小标宋简体" w:hAnsi="Times New Roman" w:eastAsia="方正小标宋简体" w:cs="Times New Roman"/>
          <w:sz w:val="44"/>
          <w:szCs w:val="44"/>
        </w:rPr>
      </w:pPr>
      <w:bookmarkStart w:id="1" w:name="Content"/>
      <w:bookmarkEnd w:id="1"/>
      <w:r>
        <w:rPr>
          <w:rFonts w:hint="eastAsia" w:ascii="方正小标宋简体" w:hAnsi="Times New Roman" w:eastAsia="方正小标宋简体" w:cs="Times New Roman"/>
          <w:sz w:val="44"/>
          <w:szCs w:val="44"/>
        </w:rPr>
        <w:t>豫北医学院经济合同管理办法</w:t>
      </w:r>
    </w:p>
    <w:p>
      <w:pPr>
        <w:adjustRightInd w:val="0"/>
        <w:snapToGrid w:val="0"/>
        <w:spacing w:line="360" w:lineRule="auto"/>
        <w:rPr>
          <w:rFonts w:hint="default" w:ascii="黑体" w:hAnsi="Times New Roman" w:eastAsia="黑体" w:cs="Times New Roman"/>
          <w:sz w:val="32"/>
          <w:szCs w:val="32"/>
        </w:rPr>
      </w:pPr>
    </w:p>
    <w:p>
      <w:pPr>
        <w:adjustRightInd w:val="0"/>
        <w:snapToGrid w:val="0"/>
        <w:spacing w:line="360" w:lineRule="auto"/>
        <w:jc w:val="center"/>
        <w:rPr>
          <w:rFonts w:hint="default" w:ascii="黑体" w:hAnsi="Times New Roman" w:eastAsia="黑体" w:cs="Times New Roman"/>
          <w:sz w:val="32"/>
          <w:szCs w:val="32"/>
        </w:rPr>
      </w:pPr>
      <w:r>
        <w:rPr>
          <w:rFonts w:hint="eastAsia" w:ascii="黑体" w:hAnsi="Times New Roman" w:eastAsia="黑体" w:cs="Times New Roman"/>
          <w:sz w:val="32"/>
          <w:szCs w:val="32"/>
        </w:rPr>
        <w:t>第一章  总则</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第一条  </w:t>
      </w:r>
      <w:r>
        <w:rPr>
          <w:rFonts w:hint="default" w:ascii="仿宋_GB2312" w:hAnsi="仿宋_GB2312" w:eastAsia="仿宋_GB2312" w:cs="仿宋_GB2312"/>
          <w:sz w:val="32"/>
          <w:szCs w:val="32"/>
          <w:lang w:bidi="ar"/>
        </w:rPr>
        <w:t>为规范学校经济行为及工作人员履职行为，防范各类经济风险，保障师生合法权益，依据《中华人民共和国民法典》等法律法规，结合学校实际情况，制定本办法。</w:t>
      </w:r>
    </w:p>
    <w:p>
      <w:pPr>
        <w:adjustRightInd w:val="0"/>
        <w:snapToGrid w:val="0"/>
        <w:spacing w:line="360" w:lineRule="auto"/>
        <w:ind w:firstLine="615"/>
        <w:rPr>
          <w:rFonts w:hint="default" w:ascii="仿宋_GB2312" w:hAnsi="Calibri" w:eastAsia="仿宋_GB2312" w:cs="Times New Roman"/>
          <w:sz w:val="32"/>
          <w:szCs w:val="32"/>
        </w:rPr>
      </w:pPr>
      <w:r>
        <w:rPr>
          <w:rFonts w:hint="eastAsia" w:ascii="仿宋_GB2312" w:hAnsi="仿宋_GB2312" w:eastAsia="仿宋_GB2312" w:cs="仿宋_GB2312"/>
          <w:sz w:val="32"/>
          <w:szCs w:val="32"/>
          <w:lang w:bidi="ar"/>
        </w:rPr>
        <w:t xml:space="preserve">第二条  </w:t>
      </w:r>
      <w:r>
        <w:rPr>
          <w:rFonts w:hint="default" w:ascii="仿宋_GB2312" w:hAnsi="Calibri" w:eastAsia="仿宋_GB2312" w:cs="Times New Roman"/>
          <w:sz w:val="32"/>
          <w:szCs w:val="32"/>
        </w:rPr>
        <w:t>本办法所称经济合同，是指豫北医学院作为一方当事人，通过采购程序，与其他平等主体的自然人、法人或非法人组织之间订立的，涉及经济权利义务关系的协议，包括买卖合同、服务合同、建设工程合同、租赁合同等。</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default" w:ascii="仿宋_GB2312" w:hAnsi="Calibri" w:eastAsia="仿宋_GB2312" w:cs="Times New Roman"/>
          <w:sz w:val="32"/>
          <w:szCs w:val="32"/>
        </w:rPr>
        <w:t>单项金额</w:t>
      </w:r>
      <w:r>
        <w:rPr>
          <w:rFonts w:hint="eastAsia" w:ascii="仿宋_GB2312" w:hAnsi="Calibri" w:eastAsia="仿宋_GB2312" w:cs="Times New Roman"/>
          <w:sz w:val="32"/>
          <w:szCs w:val="32"/>
        </w:rPr>
        <w:t>3</w:t>
      </w:r>
      <w:r>
        <w:rPr>
          <w:rFonts w:hint="default" w:ascii="仿宋_GB2312" w:hAnsi="Calibri" w:eastAsia="仿宋_GB2312" w:cs="Times New Roman"/>
          <w:sz w:val="32"/>
          <w:szCs w:val="32"/>
        </w:rPr>
        <w:t>万元及以上的经济往来项目，均须依法订立正式经济合同。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第三条  </w:t>
      </w:r>
      <w:r>
        <w:rPr>
          <w:rFonts w:hint="default" w:ascii="仿宋_GB2312" w:hAnsi="仿宋_GB2312" w:eastAsia="仿宋_GB2312" w:cs="仿宋_GB2312"/>
          <w:sz w:val="32"/>
          <w:szCs w:val="32"/>
          <w:lang w:bidi="ar"/>
        </w:rPr>
        <w:t>合同的签订和履行应当</w:t>
      </w:r>
      <w:r>
        <w:rPr>
          <w:rFonts w:hint="eastAsia" w:ascii="仿宋_GB2312" w:hAnsi="仿宋_GB2312" w:eastAsia="仿宋_GB2312" w:cs="仿宋_GB2312"/>
          <w:sz w:val="32"/>
          <w:szCs w:val="32"/>
          <w:lang w:bidi="ar"/>
        </w:rPr>
        <w:t>严格</w:t>
      </w:r>
      <w:r>
        <w:rPr>
          <w:rFonts w:hint="default" w:ascii="仿宋_GB2312" w:hAnsi="仿宋_GB2312" w:eastAsia="仿宋_GB2312" w:cs="仿宋_GB2312"/>
          <w:sz w:val="32"/>
          <w:szCs w:val="32"/>
          <w:lang w:bidi="ar"/>
        </w:rPr>
        <w:t>遵守</w:t>
      </w:r>
      <w:r>
        <w:rPr>
          <w:rFonts w:hint="eastAsia" w:ascii="仿宋_GB2312" w:hAnsi="仿宋_GB2312" w:eastAsia="仿宋_GB2312" w:cs="仿宋_GB2312"/>
          <w:sz w:val="32"/>
          <w:szCs w:val="32"/>
          <w:lang w:bidi="ar"/>
        </w:rPr>
        <w:t>国家</w:t>
      </w:r>
      <w:r>
        <w:rPr>
          <w:rFonts w:hint="default" w:ascii="仿宋_GB2312" w:hAnsi="仿宋_GB2312" w:eastAsia="仿宋_GB2312" w:cs="仿宋_GB2312"/>
          <w:sz w:val="32"/>
          <w:szCs w:val="32"/>
          <w:lang w:bidi="ar"/>
        </w:rPr>
        <w:t>法律、法规、规章，遵循平等自愿、</w:t>
      </w:r>
      <w:r>
        <w:rPr>
          <w:rFonts w:hint="eastAsia" w:ascii="仿宋_GB2312" w:hAnsi="仿宋_GB2312" w:eastAsia="仿宋_GB2312" w:cs="仿宋_GB2312"/>
          <w:sz w:val="32"/>
          <w:szCs w:val="32"/>
          <w:lang w:bidi="ar"/>
        </w:rPr>
        <w:t>协商一致、</w:t>
      </w:r>
      <w:r>
        <w:rPr>
          <w:rFonts w:hint="default" w:ascii="仿宋_GB2312" w:hAnsi="仿宋_GB2312" w:eastAsia="仿宋_GB2312" w:cs="仿宋_GB2312"/>
          <w:color w:val="auto"/>
          <w:sz w:val="32"/>
          <w:szCs w:val="32"/>
          <w:lang w:bidi="ar"/>
        </w:rPr>
        <w:t>诚实信用</w:t>
      </w:r>
      <w:r>
        <w:rPr>
          <w:rFonts w:hint="eastAsia" w:ascii="仿宋_GB2312" w:hAnsi="仿宋_GB2312" w:eastAsia="仿宋_GB2312" w:cs="仿宋_GB2312"/>
          <w:color w:val="auto"/>
          <w:sz w:val="32"/>
          <w:szCs w:val="32"/>
          <w:lang w:bidi="ar"/>
        </w:rPr>
        <w:t>、廉洁从业</w:t>
      </w:r>
      <w:r>
        <w:rPr>
          <w:rFonts w:hint="default" w:ascii="仿宋_GB2312" w:hAnsi="仿宋_GB2312" w:eastAsia="仿宋_GB2312" w:cs="仿宋_GB2312"/>
          <w:sz w:val="32"/>
          <w:szCs w:val="32"/>
          <w:lang w:bidi="ar"/>
        </w:rPr>
        <w:t>的原则，依法维护学校的合法权益。</w:t>
      </w:r>
    </w:p>
    <w:p>
      <w:pPr>
        <w:adjustRightInd w:val="0"/>
        <w:snapToGrid w:val="0"/>
        <w:spacing w:line="360" w:lineRule="auto"/>
        <w:jc w:val="center"/>
        <w:rPr>
          <w:rFonts w:hint="default" w:ascii="黑体" w:hAnsi="Times New Roman" w:eastAsia="黑体" w:cs="Times New Roman"/>
          <w:sz w:val="32"/>
          <w:szCs w:val="32"/>
        </w:rPr>
      </w:pPr>
      <w:r>
        <w:rPr>
          <w:rFonts w:hint="eastAsia" w:ascii="黑体" w:hAnsi="Times New Roman" w:eastAsia="黑体" w:cs="Times New Roman"/>
          <w:sz w:val="32"/>
          <w:szCs w:val="32"/>
        </w:rPr>
        <w:t>第二章  各部门职责</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第四条  </w:t>
      </w:r>
      <w:r>
        <w:rPr>
          <w:rFonts w:hint="eastAsia" w:ascii="仿宋_GB2312" w:hAnsi="Calibri" w:eastAsia="仿宋_GB2312" w:cs="Times New Roman"/>
          <w:sz w:val="32"/>
          <w:szCs w:val="32"/>
        </w:rPr>
        <w:t>学校经济合同管理遵循统一领导、归口管理、分级负责的原则。董事会全面领导经济合同管理工作；</w:t>
      </w:r>
      <w:r>
        <w:rPr>
          <w:rFonts w:hint="eastAsia" w:ascii="仿宋_GB2312" w:hAnsi="Calibri" w:eastAsia="仿宋_GB2312" w:cs="Times New Roman"/>
          <w:sz w:val="32"/>
          <w:szCs w:val="32"/>
          <w:lang w:val="en-US" w:eastAsia="zh-CN"/>
        </w:rPr>
        <w:t>校领导</w:t>
      </w:r>
      <w:r>
        <w:rPr>
          <w:rFonts w:hint="default" w:ascii="仿宋_GB2312" w:hAnsi="Calibri" w:eastAsia="仿宋_GB2312" w:cs="Times New Roman"/>
          <w:color w:val="000000"/>
          <w:sz w:val="32"/>
          <w:szCs w:val="32"/>
        </w:rPr>
        <w:t>依照职责分工</w:t>
      </w:r>
      <w:r>
        <w:rPr>
          <w:rFonts w:hint="eastAsia" w:ascii="仿宋_GB2312" w:hAnsi="Calibri" w:eastAsia="仿宋_GB2312" w:cs="Times New Roman"/>
          <w:color w:val="000000"/>
          <w:sz w:val="32"/>
          <w:szCs w:val="32"/>
          <w:lang w:val="en-US" w:eastAsia="zh-CN"/>
        </w:rPr>
        <w:t>统筹相关部门</w:t>
      </w:r>
      <w:r>
        <w:rPr>
          <w:rFonts w:hint="default" w:ascii="仿宋_GB2312" w:hAnsi="Calibri" w:eastAsia="仿宋_GB2312" w:cs="Times New Roman"/>
          <w:color w:val="000000"/>
          <w:sz w:val="32"/>
          <w:szCs w:val="32"/>
        </w:rPr>
        <w:t>履行相应的合同管理职责。</w:t>
      </w:r>
    </w:p>
    <w:p>
      <w:pPr>
        <w:numPr>
          <w:ilvl w:val="0"/>
          <w:numId w:val="1"/>
        </w:num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招投标与资产管理处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招投标与资产管理处是学校经济合同管理的主责部门，负责合同全周期管理，并统筹合同与资产的一体化规范管控，主要职责如下：</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前期调研与主体核查。调查核实合同相对方的主体资格、签约权限、资信状况及履约能力；核验授权委托书，确保签字人与授权代表一致；涉及知识产权的合同，核查产权来源、权利归属或权利人合法有效的授权证明等。</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2.合同谈判。在前款核查无误的基础上，组织并主持合同商务条款的谈判，项目申请部门代表共同参加。任何部门不得由单人直接与合同相对方进行谈判。</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3.合同审签。负责合同文本的审核，确保标的、质量、价款、履行期限等合同主要条款与采购需求、响应文件及合同相对方的承诺内容一致。审核通过后，发起协同审核、修订与签批流程，完成合同签订。</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4.合同履行监督。负责</w:t>
      </w:r>
      <w:r>
        <w:rPr>
          <w:rFonts w:hint="default" w:ascii="仿宋_GB2312" w:hAnsi="仿宋_GB2312" w:eastAsia="仿宋_GB2312" w:cs="仿宋_GB2312"/>
          <w:sz w:val="32"/>
          <w:szCs w:val="32"/>
          <w:lang w:bidi="ar"/>
        </w:rPr>
        <w:t>跟踪合同履行情况，督促合同相对方按约履行义务；对履行中的异常情况、变更或违约风险，及时向学校报告并处理。</w:t>
      </w:r>
    </w:p>
    <w:p>
      <w:pPr>
        <w:adjustRightInd w:val="0"/>
        <w:snapToGrid w:val="0"/>
        <w:spacing w:line="360" w:lineRule="auto"/>
        <w:ind w:firstLine="615"/>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sz w:val="32"/>
          <w:szCs w:val="32"/>
          <w:lang w:bidi="ar"/>
        </w:rPr>
        <w:t>5.资产建账与监管。负责合同涉及的固定资产建账、变更及台账管理，对合同履行过程中形成的资产实施监管，保障资产安</w:t>
      </w:r>
      <w:r>
        <w:rPr>
          <w:rFonts w:hint="eastAsia" w:ascii="仿宋_GB2312" w:hAnsi="仿宋_GB2312" w:eastAsia="仿宋_GB2312" w:cs="仿宋_GB2312"/>
          <w:color w:val="auto"/>
          <w:sz w:val="32"/>
          <w:szCs w:val="32"/>
          <w:lang w:bidi="ar"/>
        </w:rPr>
        <w:t>全完整。</w:t>
      </w:r>
    </w:p>
    <w:p>
      <w:pPr>
        <w:adjustRightInd w:val="0"/>
        <w:snapToGrid w:val="0"/>
        <w:spacing w:line="360" w:lineRule="auto"/>
        <w:ind w:firstLine="615"/>
        <w:rPr>
          <w:rFonts w:hint="default"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6.收集归档。负责将已签订的经济合同及相关资料（包括中标通知书、谈判记录、审核意见、验收单等）整理归档，保存至少十五年，以备后续查阅和审计。</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bidi="ar"/>
        </w:rPr>
        <w:t>7.合同范本管理。根据学校</w:t>
      </w:r>
      <w:r>
        <w:rPr>
          <w:rFonts w:hint="eastAsia" w:ascii="仿宋_GB2312" w:hAnsi="仿宋_GB2312" w:eastAsia="仿宋_GB2312" w:cs="仿宋_GB2312"/>
          <w:sz w:val="32"/>
          <w:szCs w:val="32"/>
          <w:lang w:bidi="ar"/>
        </w:rPr>
        <w:t>常见业务类型，制定和更新各类经济合同示范文本。</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第六条  项目申请部门</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项目申请部门是经济合同所涉项目的业务主管部门，也是合同履行的责任主体，主要职责如下：</w:t>
      </w:r>
    </w:p>
    <w:p>
      <w:pPr>
        <w:adjustRightInd w:val="0"/>
        <w:snapToGrid w:val="0"/>
        <w:spacing w:line="360" w:lineRule="auto"/>
        <w:ind w:firstLine="615"/>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sz w:val="32"/>
          <w:szCs w:val="32"/>
          <w:lang w:bidi="ar"/>
        </w:rPr>
        <w:t>1.参与谈判与需求确认。全程参与招投标与资产管理处组织的合同谈判，</w:t>
      </w:r>
      <w:r>
        <w:rPr>
          <w:rFonts w:hint="default" w:ascii="仿宋_GB2312" w:hAnsi="仿宋_GB2312" w:eastAsia="仿宋_GB2312" w:cs="仿宋_GB2312"/>
          <w:sz w:val="32"/>
          <w:szCs w:val="32"/>
          <w:lang w:bidi="ar"/>
        </w:rPr>
        <w:t>负责说明项目背景、技术参数、服务标准、交付要求等</w:t>
      </w:r>
      <w:r>
        <w:rPr>
          <w:rFonts w:hint="default" w:ascii="仿宋_GB2312" w:hAnsi="仿宋_GB2312" w:eastAsia="仿宋_GB2312" w:cs="仿宋_GB2312"/>
          <w:color w:val="auto"/>
          <w:sz w:val="32"/>
          <w:szCs w:val="32"/>
          <w:lang w:bidi="ar"/>
        </w:rPr>
        <w:t>业务需求，并对合同相对方提出的业务相关问题进行答复</w:t>
      </w:r>
      <w:r>
        <w:rPr>
          <w:rFonts w:hint="eastAsia" w:ascii="仿宋_GB2312" w:hAnsi="仿宋_GB2312" w:eastAsia="仿宋_GB2312" w:cs="仿宋_GB2312"/>
          <w:color w:val="auto"/>
          <w:sz w:val="32"/>
          <w:szCs w:val="32"/>
          <w:lang w:bidi="ar"/>
        </w:rPr>
        <w:t>，</w:t>
      </w:r>
      <w:r>
        <w:rPr>
          <w:rFonts w:hint="default" w:ascii="仿宋_GB2312" w:hAnsi="仿宋_GB2312" w:eastAsia="仿宋_GB2312" w:cs="仿宋_GB2312"/>
          <w:color w:val="auto"/>
          <w:sz w:val="32"/>
          <w:szCs w:val="32"/>
          <w:lang w:bidi="ar"/>
        </w:rPr>
        <w:t>协助招投标与资产管理处完成商务对接。</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bidi="ar"/>
        </w:rPr>
        <w:t>2.依照学校经济合同示范文本，起草合同业务条款。根据谈判结果，负责起草合同中的业务内容条款（包括标的、技术标准、质量要求、履行期限、验收标</w:t>
      </w:r>
      <w:r>
        <w:rPr>
          <w:rFonts w:hint="eastAsia" w:ascii="仿宋_GB2312" w:hAnsi="仿宋_GB2312" w:eastAsia="仿宋_GB2312" w:cs="仿宋_GB2312"/>
          <w:sz w:val="32"/>
          <w:szCs w:val="32"/>
          <w:lang w:bidi="ar"/>
        </w:rPr>
        <w:t>准、质保期等），确保上述条款与采购需求、响应文件及合同相对方的承诺内容一致。</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合同履行与日常管理。督促合同相对方按约定履行义务；跟踪合同执行进度，及时办理验收、付款申请等手续；发现合同履行中的异常情况（如延期、质量不符、违约等），及时向招投标与资产管理处反馈，并配合处理。</w:t>
      </w:r>
    </w:p>
    <w:p>
      <w:pPr>
        <w:adjustRightInd w:val="0"/>
        <w:snapToGrid w:val="0"/>
        <w:spacing w:line="360" w:lineRule="auto"/>
        <w:ind w:firstLine="615"/>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sz w:val="32"/>
          <w:szCs w:val="32"/>
          <w:lang w:bidi="ar"/>
        </w:rPr>
        <w:t>4.履约资料保管。负责收集、保管合同履行过程中由本部门形成的资料</w:t>
      </w:r>
      <w:r>
        <w:rPr>
          <w:rFonts w:hint="eastAsia" w:ascii="仿宋_GB2312" w:hAnsi="仿宋_GB2312" w:eastAsia="仿宋_GB2312" w:cs="仿宋_GB2312"/>
          <w:color w:val="auto"/>
          <w:sz w:val="32"/>
          <w:szCs w:val="32"/>
          <w:lang w:bidi="ar"/>
        </w:rPr>
        <w:t>（包括验收记录、往来函件、变更签证、付款申请、现场照片、会议纪要等），保存至少十五年，以备后续查阅和审计。</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第七条  财务处 </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财务处是学校经济合同资金管理的职能部门，负责合同相关资金的预算审核、支付办理及财务监督，主要职责如下：</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1.预算与资金来源审核。审核合同项目是否已纳入年度预算，资金来源是否合法、合规、充分。</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2.财务条款审核。审核合同中的价格、计价依据、付款条件、结算方式、税务条款、发票类型等内容，确保符合国家财经法规和学校财务管理制度。</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3.款项支付与结算。依据合同约定及项目申请部门提供的验收凭证、履约证明等，按程序办理款项支付、费用结算及往来款项核销。</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4.财务监督与风险控制。对合同履行过程中的财务收支情况进行监督，审查票据合法性及手续完整性；定期与招投标与资产管理处、项目申请部门对账，发现超预算、超进度付款等异常情况，</w:t>
      </w:r>
      <w:r>
        <w:rPr>
          <w:rFonts w:hint="default" w:ascii="仿宋_GB2312" w:hAnsi="仿宋_GB2312" w:eastAsia="仿宋_GB2312" w:cs="仿宋_GB2312"/>
          <w:sz w:val="32"/>
          <w:szCs w:val="32"/>
          <w:lang w:bidi="ar"/>
        </w:rPr>
        <w:t>及时报告</w:t>
      </w:r>
      <w:r>
        <w:rPr>
          <w:rFonts w:hint="eastAsia" w:ascii="仿宋_GB2312" w:hAnsi="仿宋_GB2312" w:eastAsia="仿宋_GB2312" w:cs="仿宋_GB2312"/>
          <w:sz w:val="32"/>
          <w:szCs w:val="32"/>
          <w:lang w:bidi="ar"/>
        </w:rPr>
        <w:t>学校</w:t>
      </w:r>
      <w:r>
        <w:rPr>
          <w:rFonts w:hint="default" w:ascii="仿宋_GB2312" w:hAnsi="仿宋_GB2312" w:eastAsia="仿宋_GB2312" w:cs="仿宋_GB2312"/>
          <w:sz w:val="32"/>
          <w:szCs w:val="32"/>
          <w:lang w:bidi="ar"/>
        </w:rPr>
        <w:t>并配合处理。</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第八条  法制办公室</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法制办公室是学校经济合同法律风险防控的职能部门，负责合同的合法性审查及纠纷处理的法律支持，主要职责如下：</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1.合法性审查。对合同文本进行合法性审查，重点审查合同形式、条款内容是否违反法律、法规的强制性规定。</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2.风险提示与建议。对合同中存在的法律风险（如权利义务不对等、违约责任缺失、争议解决条款不明等）进行提示，提出修改建议或替代方案。</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3.纠纷处理与法律支持。参与合同纠纷的协商、调解、仲裁或诉讼活动，提供法律咨询，处理相关法律事务。</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第九条  审计处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审计处是学校经济合同审计监督的职能部门，负责对重大经济合同进行审计，并对合同执行情况实施跟踪监督，主要职责如下：</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1.重大合同前置审计。对达到学校规定金额标准或涉及重大利益的经济合同，在签订前进行专项审计，重点审查合同的真实性、合规性、效益性。</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2.合同履行跟踪审计。对合同履行过程中的变更签证、验收结算等关键环节进行跟踪审计，及时发现并指出存在的问题，提出整改建议。</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第十条  校长办公室</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校长办公室是学校经济合同格式与印章管理的职能部门，负责合同文本的形式规范审定及合同专用章的保管使用，主要职责如下：</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合同专用章管理。负责学校合同专用章的保管、使用与安全监管，对合同纸质终稿与审批通过的电子版本进行一致性核对，严格按照合同签批流程及授权范围用印。</w:t>
      </w:r>
    </w:p>
    <w:p>
      <w:pPr>
        <w:adjustRightInd w:val="0"/>
        <w:snapToGrid w:val="0"/>
        <w:spacing w:line="360" w:lineRule="auto"/>
        <w:jc w:val="center"/>
        <w:rPr>
          <w:rFonts w:hint="default" w:ascii="黑体" w:hAnsi="Times New Roman" w:eastAsia="黑体" w:cs="Times New Roman"/>
          <w:sz w:val="32"/>
          <w:szCs w:val="32"/>
        </w:rPr>
      </w:pPr>
      <w:r>
        <w:rPr>
          <w:rFonts w:hint="eastAsia" w:ascii="黑体" w:hAnsi="Times New Roman" w:eastAsia="黑体" w:cs="Times New Roman"/>
          <w:sz w:val="32"/>
          <w:szCs w:val="32"/>
        </w:rPr>
        <w:t>第三章  合同的签订</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第十一条  合同文本</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default" w:ascii="仿宋_GB2312" w:hAnsi="仿宋_GB2312" w:eastAsia="仿宋_GB2312" w:cs="仿宋_GB2312"/>
          <w:sz w:val="32"/>
          <w:szCs w:val="32"/>
          <w:lang w:bidi="ar"/>
        </w:rPr>
        <w:t>经济合同应当具备以下条款：</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w:t>
      </w:r>
      <w:r>
        <w:rPr>
          <w:rFonts w:hint="default" w:ascii="仿宋_GB2312" w:hAnsi="仿宋_GB2312" w:eastAsia="仿宋_GB2312" w:cs="仿宋_GB2312"/>
          <w:sz w:val="32"/>
          <w:szCs w:val="32"/>
          <w:lang w:bidi="ar"/>
        </w:rPr>
        <w:t>合同双方</w:t>
      </w:r>
      <w:r>
        <w:rPr>
          <w:rFonts w:hint="eastAsia" w:ascii="仿宋_GB2312" w:hAnsi="仿宋_GB2312" w:eastAsia="仿宋_GB2312" w:cs="仿宋_GB2312"/>
          <w:sz w:val="32"/>
          <w:szCs w:val="32"/>
          <w:lang w:bidi="ar"/>
        </w:rPr>
        <w:t>的姓名或名称、住所；法定代表人或负责人的姓名、职务；委托代理人姓名、职务及联系方式；</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w:t>
      </w:r>
      <w:r>
        <w:rPr>
          <w:rFonts w:hint="default" w:ascii="仿宋_GB2312" w:hAnsi="仿宋_GB2312" w:eastAsia="仿宋_GB2312" w:cs="仿宋_GB2312"/>
          <w:sz w:val="32"/>
          <w:szCs w:val="32"/>
          <w:lang w:bidi="ar"/>
        </w:rPr>
        <w:t>合同标的的种类、数量、质量、技术标准或其他可识别特征</w:t>
      </w:r>
      <w:r>
        <w:rPr>
          <w:rFonts w:hint="eastAsia"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default" w:ascii="仿宋_GB2312" w:hAnsi="仿宋_GB2312" w:eastAsia="仿宋_GB2312" w:cs="仿宋_GB2312"/>
          <w:sz w:val="32"/>
          <w:szCs w:val="32"/>
          <w:lang w:bidi="ar"/>
        </w:rPr>
        <w:t>价款或报酬的金额、计价依据、计算方法、支付进度、结算方式以及发票类型、税费承担等</w:t>
      </w:r>
      <w:r>
        <w:rPr>
          <w:rFonts w:hint="eastAsia"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w:t>
      </w:r>
      <w:r>
        <w:rPr>
          <w:rFonts w:hint="default" w:ascii="仿宋_GB2312" w:hAnsi="仿宋_GB2312" w:eastAsia="仿宋_GB2312" w:cs="仿宋_GB2312"/>
          <w:sz w:val="32"/>
          <w:szCs w:val="32"/>
          <w:lang w:bidi="ar"/>
        </w:rPr>
        <w:t>合同履行的起止时间、进度要求、履行地点及交付方式</w:t>
      </w:r>
      <w:r>
        <w:rPr>
          <w:rFonts w:hint="eastAsia"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hint="default" w:ascii="仿宋_GB2312" w:hAnsi="仿宋_GB2312" w:eastAsia="仿宋_GB2312" w:cs="仿宋_GB2312"/>
          <w:sz w:val="32"/>
          <w:szCs w:val="32"/>
          <w:lang w:bidi="ar"/>
        </w:rPr>
        <w:t>验收的依据、标准、程序、方法及验收不合格的处理方式</w:t>
      </w:r>
      <w:r>
        <w:rPr>
          <w:rFonts w:hint="eastAsia"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6.违约责任，包括</w:t>
      </w:r>
      <w:r>
        <w:rPr>
          <w:rFonts w:hint="default" w:ascii="仿宋_GB2312" w:hAnsi="仿宋_GB2312" w:eastAsia="仿宋_GB2312" w:cs="仿宋_GB2312"/>
          <w:sz w:val="32"/>
          <w:szCs w:val="32"/>
          <w:lang w:bidi="ar"/>
        </w:rPr>
        <w:t>违约情形、违约金或赔偿金的计算方式、免责事由及补救措施</w:t>
      </w:r>
      <w:r>
        <w:rPr>
          <w:rFonts w:hint="eastAsia"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7.争议解决方法；</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8.廉洁承诺条款，</w:t>
      </w:r>
      <w:r>
        <w:rPr>
          <w:rFonts w:hint="default" w:ascii="仿宋_GB2312" w:hAnsi="仿宋_GB2312" w:eastAsia="仿宋_GB2312" w:cs="仿宋_GB2312"/>
          <w:sz w:val="32"/>
          <w:szCs w:val="32"/>
          <w:lang w:bidi="ar"/>
        </w:rPr>
        <w:t>明确禁止商业贿赂行为</w:t>
      </w:r>
      <w:r>
        <w:rPr>
          <w:rFonts w:hint="eastAsia"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9.其他根据合同实际情况应当具备的条款（包括名词和术语的解释、知识产权归属、收益分成、风险承担、保密义务、保修责任、合同生效与解除条件等）；</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10.合同签订的时间、地点。</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第十二条  签订程序</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default" w:ascii="仿宋_GB2312" w:hAnsi="仿宋_GB2312" w:eastAsia="仿宋_GB2312" w:cs="仿宋_GB2312"/>
          <w:sz w:val="32"/>
          <w:szCs w:val="32"/>
          <w:lang w:bidi="ar"/>
        </w:rPr>
        <w:t>经济合同的签订应按照以下程序办理：</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1.项目申请部门依据学校经济合同范本起草合同文本，经部门负责人审核签字后，报送招投标与资产管理处。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2.招投标与资产管理处</w:t>
      </w:r>
      <w:r>
        <w:rPr>
          <w:rFonts w:hint="default" w:ascii="仿宋_GB2312" w:hAnsi="仿宋_GB2312" w:eastAsia="仿宋_GB2312" w:cs="仿宋_GB2312"/>
          <w:sz w:val="32"/>
          <w:szCs w:val="32"/>
          <w:lang w:bidi="ar"/>
        </w:rPr>
        <w:t>对合同条款及与采购文件的一致性进行审核</w:t>
      </w:r>
      <w:r>
        <w:rPr>
          <w:rFonts w:hint="eastAsia" w:ascii="仿宋_GB2312" w:hAnsi="仿宋_GB2312" w:eastAsia="仿宋_GB2312" w:cs="仿宋_GB2312"/>
          <w:sz w:val="32"/>
          <w:szCs w:val="32"/>
          <w:lang w:bidi="ar"/>
        </w:rPr>
        <w:t>，并提请法制办公室审查合同文本合法性，再向财务处、审计处发起协同审核。各部门应在收到审核申请后3个工作日内（</w:t>
      </w:r>
      <w:r>
        <w:rPr>
          <w:rFonts w:hint="default" w:ascii="仿宋_GB2312" w:hAnsi="仿宋_GB2312" w:eastAsia="仿宋_GB2312" w:cs="仿宋_GB2312"/>
          <w:sz w:val="32"/>
          <w:szCs w:val="32"/>
          <w:lang w:bidi="ar"/>
        </w:rPr>
        <w:t>重大合同可适当延长</w:t>
      </w:r>
      <w:r>
        <w:rPr>
          <w:rFonts w:hint="eastAsia" w:ascii="仿宋_GB2312" w:hAnsi="仿宋_GB2312" w:eastAsia="仿宋_GB2312" w:cs="仿宋_GB2312"/>
          <w:sz w:val="32"/>
          <w:szCs w:val="32"/>
          <w:lang w:bidi="ar"/>
        </w:rPr>
        <w:t>）完成审核并反馈书面意见。</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3.招投标与资产管理处汇总各部门审核意见，对合同文本修改完善，形成最终版本。</w:t>
      </w:r>
      <w:r>
        <w:rPr>
          <w:rFonts w:hint="default" w:ascii="仿宋_GB2312" w:hAnsi="仿宋_GB2312" w:eastAsia="仿宋_GB2312" w:cs="仿宋_GB2312"/>
          <w:sz w:val="32"/>
          <w:szCs w:val="32"/>
          <w:lang w:bidi="ar"/>
        </w:rPr>
        <w:t>对各部门提出的实质性修改意见，应当逐条确认是否采纳，未采纳的应说明理由。</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4.招投标与资产管理处发起合同</w:t>
      </w:r>
      <w:r>
        <w:rPr>
          <w:rFonts w:hint="eastAsia" w:ascii="仿宋_GB2312" w:hAnsi="Times New Roman" w:eastAsia="仿宋_GB2312" w:cs="Times New Roman"/>
          <w:sz w:val="32"/>
          <w:szCs w:val="32"/>
          <w:lang w:bidi="ar"/>
        </w:rPr>
        <w:t>OA</w:t>
      </w:r>
      <w:r>
        <w:rPr>
          <w:rFonts w:hint="eastAsia" w:ascii="仿宋_GB2312" w:hAnsi="仿宋_GB2312" w:eastAsia="仿宋_GB2312" w:cs="仿宋_GB2312"/>
          <w:sz w:val="32"/>
          <w:szCs w:val="32"/>
          <w:lang w:bidi="ar"/>
        </w:rPr>
        <w:t>审批流程。审批过程严格遵循“谁审批、谁签字、谁负责”原则，严禁无意义空转。审批通过后，由校长办公室加盖学校合同专用章，学校法定代表人、负责人或委托代理人，在合同上签字（或签章）。</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w:t>
      </w:r>
      <w:r>
        <w:rPr>
          <w:rFonts w:hint="default" w:ascii="仿宋_GB2312" w:hAnsi="仿宋_GB2312" w:eastAsia="仿宋_GB2312" w:cs="仿宋_GB2312"/>
          <w:sz w:val="32"/>
          <w:szCs w:val="32"/>
          <w:lang w:bidi="ar"/>
        </w:rPr>
        <w:t>经济合同文本原则上签订一式七份（特殊需要除外），各份具有同等法律效力。招投标与资产管理处保存二份，项目申请部门、财务处、审计处、校长办公室及合同相对方各保存一份。</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w:t>
      </w:r>
      <w:r>
        <w:rPr>
          <w:rFonts w:hint="default" w:ascii="仿宋_GB2312" w:hAnsi="仿宋_GB2312" w:eastAsia="仿宋_GB2312" w:cs="仿宋_GB2312"/>
          <w:sz w:val="32"/>
          <w:szCs w:val="32"/>
          <w:lang w:bidi="ar"/>
        </w:rPr>
        <w:t>任何单位和个人未经学校授权，不得以学校名义或校内单位（部门）名义对外签订经济合同。违反本规定签订的合同，学校不予承认，由此产生的法律责任由签约人自行承担。</w:t>
      </w:r>
    </w:p>
    <w:p>
      <w:pPr>
        <w:adjustRightInd w:val="0"/>
        <w:snapToGrid w:val="0"/>
        <w:spacing w:line="360" w:lineRule="auto"/>
        <w:jc w:val="center"/>
        <w:rPr>
          <w:rFonts w:hint="default" w:ascii="黑体" w:hAnsi="Times New Roman" w:eastAsia="黑体" w:cs="Times New Roman"/>
          <w:sz w:val="32"/>
          <w:szCs w:val="32"/>
        </w:rPr>
      </w:pPr>
      <w:r>
        <w:rPr>
          <w:rFonts w:hint="eastAsia" w:ascii="黑体" w:hAnsi="Times New Roman" w:eastAsia="黑体" w:cs="Times New Roman"/>
          <w:sz w:val="32"/>
          <w:szCs w:val="32"/>
        </w:rPr>
        <w:t>第四章  合同的履行与变更解除</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第十三条  合同履行基本原则</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（一）全面履行。项目申请部门作为合同履行的责任主体，应当指派专人负责合同履行，严格按照合同约定全面、适当地履行义务，确保合同目的实现。</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（二）诚实信用。合同依法成立即具有法律约束力。</w:t>
      </w:r>
      <w:r>
        <w:rPr>
          <w:rFonts w:hint="default" w:ascii="仿宋_GB2312" w:hAnsi="仿宋_GB2312" w:eastAsia="仿宋_GB2312" w:cs="仿宋_GB2312"/>
          <w:sz w:val="32"/>
          <w:szCs w:val="32"/>
          <w:lang w:bidi="ar"/>
        </w:rPr>
        <w:t>合同履行过程中，相关部门及人员应当遵循诚实信用原则，恪守承诺，积极协作，不得滥用权利或规避义务。</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w:t>
      </w:r>
      <w:r>
        <w:rPr>
          <w:rFonts w:hint="default" w:ascii="仿宋_GB2312" w:hAnsi="仿宋_GB2312" w:eastAsia="仿宋_GB2312" w:cs="仿宋_GB2312"/>
          <w:sz w:val="32"/>
          <w:szCs w:val="32"/>
          <w:lang w:bidi="ar"/>
        </w:rPr>
        <w:t>及时处置</w:t>
      </w:r>
      <w:r>
        <w:rPr>
          <w:rFonts w:hint="eastAsia" w:ascii="仿宋_GB2312" w:hAnsi="仿宋_GB2312" w:eastAsia="仿宋_GB2312" w:cs="仿宋_GB2312"/>
          <w:sz w:val="32"/>
          <w:szCs w:val="32"/>
          <w:lang w:bidi="ar"/>
        </w:rPr>
        <w:t>。</w:t>
      </w:r>
      <w:r>
        <w:rPr>
          <w:rFonts w:hint="default" w:ascii="仿宋_GB2312" w:hAnsi="仿宋_GB2312" w:eastAsia="仿宋_GB2312" w:cs="仿宋_GB2312"/>
          <w:sz w:val="32"/>
          <w:szCs w:val="32"/>
          <w:lang w:bidi="ar"/>
        </w:rPr>
        <w:t>合同履行中出现异常情况、变更需求或争议分歧时，项目申请部门应当</w:t>
      </w:r>
      <w:r>
        <w:rPr>
          <w:rFonts w:hint="eastAsia" w:ascii="仿宋_GB2312" w:hAnsi="仿宋_GB2312" w:eastAsia="仿宋_GB2312" w:cs="仿宋_GB2312"/>
          <w:sz w:val="32"/>
          <w:szCs w:val="32"/>
          <w:lang w:bidi="ar"/>
        </w:rPr>
        <w:t>立即通知招投标与资产管理处介入处理</w:t>
      </w:r>
      <w:r>
        <w:rPr>
          <w:rFonts w:hint="default" w:ascii="仿宋_GB2312" w:hAnsi="仿宋_GB2312" w:eastAsia="仿宋_GB2312" w:cs="仿宋_GB2312"/>
          <w:sz w:val="32"/>
          <w:szCs w:val="32"/>
          <w:lang w:bidi="ar"/>
        </w:rPr>
        <w:t>，并配合采取必要措施，防止损失扩大</w:t>
      </w:r>
      <w:r>
        <w:rPr>
          <w:rFonts w:hint="eastAsia" w:ascii="仿宋_GB2312" w:hAnsi="仿宋_GB2312" w:eastAsia="仿宋_GB2312" w:cs="仿宋_GB2312"/>
          <w:sz w:val="32"/>
          <w:szCs w:val="32"/>
          <w:lang w:bidi="ar"/>
        </w:rPr>
        <w:t>；同时妥善保存相关证据材料</w:t>
      </w:r>
      <w:r>
        <w:rPr>
          <w:rFonts w:hint="default" w:ascii="仿宋_GB2312" w:hAnsi="仿宋_GB2312" w:eastAsia="仿宋_GB2312" w:cs="仿宋_GB2312"/>
          <w:sz w:val="32"/>
          <w:szCs w:val="32"/>
          <w:lang w:bidi="ar"/>
        </w:rPr>
        <w:t>。</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第十四条  合同变更与解除</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（一）适用情形</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出现下列情形之一的，可以变更或解除合同：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1.合同履行中确需变更或解除的；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2.因不可抗力等不可克服原因导致合同无法履行的；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3.因合同相对方过错导致合同需要变更或解除的；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4.出现法定或约定的单方解除条件的。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（二）办理要求</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1.协商一致。招投标与资产管理处应当会同项目申请部门与合同相对方协商，签订书面变更或解除协议，严禁采用口头形式。</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2.协议内容。变更或解除协议应当载明变更或解除的理由、具体条款、履行期限及与原合同的关系。</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单方解除。符合法定或约定解除条件的，应当先行协商；协商不成的，招投标与资产管理处应当会同项目申请部门立即启动内部报告程序，起草《合同解除通知书》，经法制办公室审核、学校分管校领导审批后发出。</w:t>
      </w:r>
    </w:p>
    <w:p>
      <w:pPr>
        <w:adjustRightInd w:val="0"/>
        <w:snapToGrid w:val="0"/>
        <w:spacing w:line="360" w:lineRule="auto"/>
        <w:ind w:firstLine="615"/>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（三）合同变更程序</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color w:val="auto"/>
          <w:sz w:val="32"/>
          <w:szCs w:val="32"/>
          <w:lang w:val="en-US" w:eastAsia="zh-CN" w:bidi="ar"/>
        </w:rPr>
        <w:t>项目预算金额内，</w:t>
      </w:r>
      <w:r>
        <w:rPr>
          <w:rFonts w:hint="eastAsia" w:ascii="仿宋_GB2312" w:hAnsi="仿宋_GB2312" w:eastAsia="仿宋_GB2312" w:cs="仿宋_GB2312"/>
          <w:color w:val="auto"/>
          <w:sz w:val="32"/>
          <w:szCs w:val="32"/>
          <w:lang w:bidi="ar"/>
        </w:rPr>
        <w:t>合同变更以“变更金额”（变更后金额与原合同金额之间的差额</w:t>
      </w:r>
      <w:r>
        <w:rPr>
          <w:rFonts w:hint="eastAsia" w:ascii="仿宋_GB2312" w:hAnsi="仿宋_GB2312" w:eastAsia="仿宋_GB2312" w:cs="仿宋_GB2312"/>
          <w:sz w:val="32"/>
          <w:szCs w:val="32"/>
          <w:lang w:bidi="ar"/>
        </w:rPr>
        <w:t>）为主要依据，按以下程序办理：</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1.变更后合同金额减少的，经项目申请部门负责人审批后，报招投标与资产管理处备案执行。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2.变更后合同金额不变，但标的发生变化的：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（1）标的变更项数不超过原合同总项数20%（含）的，经项目申请部门负责人、项目申请部门分管校领导审批后，报招投标与资产管理处备案执行。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（2）工程类标的变更项数超过原合同总项数20%的，经项目申请部门负责人、招投标与资产管理处负责人、项目申请部门分管校领导、招投标与资产管理处分管校领导审批后执行。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（3）货物、服务类采购标的变更项数超过原合同总项数20%的，</w:t>
      </w:r>
      <w:r>
        <w:rPr>
          <w:rFonts w:hint="default" w:ascii="仿宋_GB2312" w:hAnsi="仿宋_GB2312" w:eastAsia="仿宋_GB2312" w:cs="仿宋_GB2312"/>
          <w:sz w:val="32"/>
          <w:szCs w:val="32"/>
          <w:lang w:bidi="ar"/>
        </w:rPr>
        <w:t>需重新履行采购程序，原合同按本条</w:t>
      </w:r>
      <w:r>
        <w:rPr>
          <w:rFonts w:hint="eastAsia" w:ascii="仿宋_GB2312" w:hAnsi="仿宋_GB2312" w:eastAsia="仿宋_GB2312" w:cs="仿宋_GB2312"/>
          <w:sz w:val="32"/>
          <w:szCs w:val="32"/>
          <w:lang w:bidi="ar"/>
        </w:rPr>
        <w:t>第</w:t>
      </w:r>
      <w:r>
        <w:rPr>
          <w:rFonts w:hint="default" w:ascii="仿宋_GB2312" w:hAnsi="仿宋_GB2312" w:eastAsia="仿宋_GB2312" w:cs="仿宋_GB2312"/>
          <w:sz w:val="32"/>
          <w:szCs w:val="32"/>
          <w:lang w:bidi="ar"/>
        </w:rPr>
        <w:t>（二）</w:t>
      </w:r>
      <w:r>
        <w:rPr>
          <w:rFonts w:hint="eastAsia" w:ascii="仿宋_GB2312" w:hAnsi="仿宋_GB2312" w:eastAsia="仿宋_GB2312" w:cs="仿宋_GB2312"/>
          <w:sz w:val="32"/>
          <w:szCs w:val="32"/>
          <w:lang w:bidi="ar"/>
        </w:rPr>
        <w:t>项</w:t>
      </w:r>
      <w:r>
        <w:rPr>
          <w:rFonts w:hint="default" w:ascii="仿宋_GB2312" w:hAnsi="仿宋_GB2312" w:eastAsia="仿宋_GB2312" w:cs="仿宋_GB2312"/>
          <w:sz w:val="32"/>
          <w:szCs w:val="32"/>
          <w:lang w:bidi="ar"/>
        </w:rPr>
        <w:t>的规定解除。</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3.变更后合同金额调高的：</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（1）货物、服务类合同变更金额不超过原合同金额5%（含）的，经项目申请部门负责人审批后，报招投标与资产管理处备案执行。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）货物、服务</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工程</w:t>
      </w:r>
      <w:r>
        <w:rPr>
          <w:rFonts w:hint="eastAsia" w:ascii="仿宋_GB2312" w:hAnsi="仿宋_GB2312" w:eastAsia="仿宋_GB2312" w:cs="仿宋_GB2312"/>
          <w:sz w:val="32"/>
          <w:szCs w:val="32"/>
          <w:lang w:bidi="ar"/>
        </w:rPr>
        <w:t>类合同变更金额超过原合同金额5%但不超过10%（含）的，经项目申请部门负责人、财务处负责人、招投标与资产管理处负责人、项目申请部门分管校领导、财务处分管校领导、招投标与资产管理处分管校领导审批后执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）货物、服务</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工程</w:t>
      </w:r>
      <w:r>
        <w:rPr>
          <w:rFonts w:hint="eastAsia" w:ascii="仿宋_GB2312" w:hAnsi="仿宋_GB2312" w:eastAsia="仿宋_GB2312" w:cs="仿宋_GB2312"/>
          <w:sz w:val="32"/>
          <w:szCs w:val="32"/>
          <w:lang w:bidi="ar"/>
        </w:rPr>
        <w:t>类合同变更金额超过原合同金额10%的，</w:t>
      </w:r>
      <w:r>
        <w:rPr>
          <w:rFonts w:hint="default" w:ascii="仿宋_GB2312" w:hAnsi="仿宋_GB2312" w:eastAsia="仿宋_GB2312" w:cs="仿宋_GB2312"/>
          <w:sz w:val="32"/>
          <w:szCs w:val="32"/>
          <w:lang w:bidi="ar"/>
        </w:rPr>
        <w:t>需重新履行采购程序，原合同按本条</w:t>
      </w:r>
      <w:r>
        <w:rPr>
          <w:rFonts w:hint="eastAsia" w:ascii="仿宋_GB2312" w:hAnsi="仿宋_GB2312" w:eastAsia="仿宋_GB2312" w:cs="仿宋_GB2312"/>
          <w:sz w:val="32"/>
          <w:szCs w:val="32"/>
          <w:lang w:bidi="ar"/>
        </w:rPr>
        <w:t>第</w:t>
      </w:r>
      <w:r>
        <w:rPr>
          <w:rFonts w:hint="default" w:ascii="仿宋_GB2312" w:hAnsi="仿宋_GB2312" w:eastAsia="仿宋_GB2312" w:cs="仿宋_GB2312"/>
          <w:sz w:val="32"/>
          <w:szCs w:val="32"/>
          <w:lang w:bidi="ar"/>
        </w:rPr>
        <w:t>（二）</w:t>
      </w:r>
      <w:r>
        <w:rPr>
          <w:rFonts w:hint="eastAsia" w:ascii="仿宋_GB2312" w:hAnsi="仿宋_GB2312" w:eastAsia="仿宋_GB2312" w:cs="仿宋_GB2312"/>
          <w:sz w:val="32"/>
          <w:szCs w:val="32"/>
          <w:lang w:bidi="ar"/>
        </w:rPr>
        <w:t>项</w:t>
      </w:r>
      <w:r>
        <w:rPr>
          <w:rFonts w:hint="default" w:ascii="仿宋_GB2312" w:hAnsi="仿宋_GB2312" w:eastAsia="仿宋_GB2312" w:cs="仿宋_GB2312"/>
          <w:sz w:val="32"/>
          <w:szCs w:val="32"/>
          <w:lang w:bidi="ar"/>
        </w:rPr>
        <w:t>的规定解除。</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4.重大或特殊事项变更：按照学校校长办公会决议执行。</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default" w:ascii="仿宋_GB2312" w:hAnsi="仿宋_GB2312" w:eastAsia="仿宋_GB2312" w:cs="仿宋_GB2312"/>
          <w:sz w:val="32"/>
          <w:szCs w:val="32"/>
          <w:lang w:bidi="ar"/>
        </w:rPr>
        <w:t>（</w:t>
      </w:r>
      <w:r>
        <w:rPr>
          <w:rFonts w:hint="eastAsia" w:ascii="仿宋_GB2312" w:hAnsi="仿宋_GB2312" w:eastAsia="仿宋_GB2312" w:cs="仿宋_GB2312"/>
          <w:sz w:val="32"/>
          <w:szCs w:val="32"/>
          <w:lang w:bidi="ar"/>
        </w:rPr>
        <w:t>四</w:t>
      </w:r>
      <w:r>
        <w:rPr>
          <w:rFonts w:hint="default" w:ascii="仿宋_GB2312" w:hAnsi="仿宋_GB2312" w:eastAsia="仿宋_GB2312" w:cs="仿宋_GB2312"/>
          <w:sz w:val="32"/>
          <w:szCs w:val="32"/>
          <w:lang w:bidi="ar"/>
        </w:rPr>
        <w:t>）其他变更</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default" w:ascii="仿宋_GB2312" w:hAnsi="仿宋_GB2312" w:eastAsia="仿宋_GB2312" w:cs="仿宋_GB2312"/>
          <w:sz w:val="32"/>
          <w:szCs w:val="32"/>
          <w:lang w:bidi="ar"/>
        </w:rPr>
        <w:t>除本条第（</w:t>
      </w:r>
      <w:r>
        <w:rPr>
          <w:rFonts w:hint="eastAsia" w:ascii="仿宋_GB2312" w:hAnsi="仿宋_GB2312" w:eastAsia="仿宋_GB2312" w:cs="仿宋_GB2312"/>
          <w:sz w:val="32"/>
          <w:szCs w:val="32"/>
          <w:lang w:bidi="ar"/>
        </w:rPr>
        <w:t>三</w:t>
      </w:r>
      <w:r>
        <w:rPr>
          <w:rFonts w:hint="default" w:ascii="仿宋_GB2312" w:hAnsi="仿宋_GB2312" w:eastAsia="仿宋_GB2312" w:cs="仿宋_GB2312"/>
          <w:sz w:val="32"/>
          <w:szCs w:val="32"/>
          <w:lang w:bidi="ar"/>
        </w:rPr>
        <w:t>）项所列情形外的其他合同变更</w:t>
      </w:r>
      <w:r>
        <w:rPr>
          <w:rFonts w:hint="eastAsia" w:ascii="仿宋_GB2312" w:hAnsi="仿宋_GB2312" w:eastAsia="仿宋_GB2312" w:cs="仿宋_GB2312"/>
          <w:sz w:val="32"/>
          <w:szCs w:val="32"/>
          <w:lang w:bidi="ar"/>
        </w:rPr>
        <w:t>（如付款方式变更等）</w:t>
      </w:r>
      <w:r>
        <w:rPr>
          <w:rFonts w:hint="default" w:ascii="仿宋_GB2312" w:hAnsi="仿宋_GB2312" w:eastAsia="仿宋_GB2312" w:cs="仿宋_GB2312"/>
          <w:sz w:val="32"/>
          <w:szCs w:val="32"/>
          <w:lang w:bidi="ar"/>
        </w:rPr>
        <w:t>，由招投标与资产管理处会同法制办公室根据变更事项的性质和影响程度，参照相应审批权限处理。</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（五）违约追责</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因合同相对方过错导致合同变更或解除，造成学校损失的，应当依据法律法规及合同约定，要求相对方赔偿相应经济损失。</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第十五条  纠纷处理</w:t>
      </w:r>
    </w:p>
    <w:p>
      <w:pPr>
        <w:adjustRightInd w:val="0"/>
        <w:snapToGrid w:val="0"/>
        <w:spacing w:line="360" w:lineRule="auto"/>
        <w:ind w:firstLine="615"/>
        <w:rPr>
          <w:rFonts w:hint="eastAsia" w:ascii="仿宋_GB2312" w:hAnsi="仿宋_GB2312" w:eastAsia="仿宋_GB2312" w:cs="仿宋_GB2312"/>
          <w:sz w:val="32"/>
          <w:szCs w:val="32"/>
          <w:lang w:bidi="ar"/>
        </w:rPr>
      </w:pPr>
      <w:r>
        <w:rPr>
          <w:rFonts w:hint="default" w:ascii="仿宋_GB2312" w:hAnsi="仿宋_GB2312" w:eastAsia="仿宋_GB2312" w:cs="仿宋_GB2312"/>
          <w:sz w:val="32"/>
          <w:szCs w:val="32"/>
          <w:lang w:bidi="ar"/>
        </w:rPr>
        <w:t>合同履行过程中发生纠纷的，由招投标与资产管理处会同项目申请部门及时收集证据并与合同相对方协商解决；协商不成的，应按照合同约定的争议解决方式，依法通过仲裁或诉讼途径处理。</w:t>
      </w:r>
    </w:p>
    <w:p>
      <w:pPr>
        <w:adjustRightInd w:val="0"/>
        <w:snapToGrid w:val="0"/>
        <w:spacing w:line="360" w:lineRule="auto"/>
        <w:jc w:val="center"/>
        <w:rPr>
          <w:rFonts w:hint="default" w:ascii="黑体" w:hAnsi="Times New Roman" w:eastAsia="黑体" w:cs="Times New Roman"/>
          <w:sz w:val="32"/>
          <w:szCs w:val="32"/>
        </w:rPr>
      </w:pPr>
      <w:r>
        <w:rPr>
          <w:rFonts w:hint="eastAsia" w:ascii="黑体" w:hAnsi="Times New Roman" w:eastAsia="黑体" w:cs="Times New Roman"/>
          <w:sz w:val="32"/>
          <w:szCs w:val="32"/>
        </w:rPr>
        <w:t>第五章  责任追究</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第十六条 责任界定</w:t>
      </w:r>
    </w:p>
    <w:p>
      <w:pPr>
        <w:adjustRightInd w:val="0"/>
        <w:snapToGrid w:val="0"/>
        <w:spacing w:line="360" w:lineRule="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在经济合同签订、履行及终止全过程中，相关人员有下列行为之一，造成学校经济损失、声誉受损、</w:t>
      </w:r>
      <w:r>
        <w:rPr>
          <w:rFonts w:hint="default" w:ascii="仿宋_GB2312" w:hAnsi="仿宋_GB2312" w:eastAsia="仿宋_GB2312" w:cs="仿宋_GB2312"/>
          <w:sz w:val="32"/>
          <w:szCs w:val="32"/>
          <w:lang w:bidi="ar"/>
        </w:rPr>
        <w:t>教学管理秩序或正常经营活动受到影响的，应当依法依规追究相应责任</w:t>
      </w:r>
      <w:r>
        <w:rPr>
          <w:rFonts w:hint="eastAsia" w:ascii="仿宋_GB2312" w:hAnsi="仿宋_GB2312" w:eastAsia="仿宋_GB2312" w:cs="仿宋_GB2312"/>
          <w:sz w:val="32"/>
          <w:szCs w:val="32"/>
          <w:lang w:bidi="ar"/>
        </w:rPr>
        <w:t>：</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1.未经学校授权，或超越授权范围、期限，擅自以学校名义签订、变更或解除合同的；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2.违反学校合同签订审批、会签程序，擅自签订合同的；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3.未核实合同相对方主体资格、资信状况及履约能力等关键信息，导致合同无效或无法履行的；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4.无正当理由未按约定履行自身义务，或未按约定对合同标的进行检验、验收，致使学校接受不合格标的并遭受损失的；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5.擅自变更、解除合同，或对合同相对方的违约行为未及时采取有效补救措施的；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6.违反合同保密规定，故意或因过失泄露合同核心条款、涉密信息及相关审核资料的；</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7.其他严重失职、未尽合理审慎义务，违反学校合同管理规定，引发重大合同风险、纠纷或造成学校利益受损的行为；</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8.</w:t>
      </w:r>
      <w:r>
        <w:rPr>
          <w:rFonts w:hint="eastAsia" w:ascii="仿宋_GB2312" w:hAnsi="Times New Roman" w:eastAsia="仿宋_GB2312" w:cs="Times New Roman"/>
          <w:sz w:val="32"/>
          <w:szCs w:val="32"/>
        </w:rPr>
        <w:t>法律、法规及学校规章制度规定的其他情形。</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第十七条 责任追究</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1.违规情节较轻，仅产生轻微合同风险、未对学校利益造成实质损害的，给予批评教育、责令书面检查。</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2.违规情节较重，造成学校一定声誉损失或轻微扰乱教学、经营管理秩序的，给予通报批评、警告等纪律处分，并责令其承担全额经济赔偿责任。</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3.违规情节严重，严重损害学校声誉或严重扰乱教学、经营管理秩序的，给予记过、降级或撤职等纪律处分，并责令其承担全额经济赔偿责任。</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4.违规情节特别严重，涉嫌贪污、受贿、滥用职权、玩忽职守等违法犯罪的，依法移送司法机关追究刑事责任。</w:t>
      </w:r>
    </w:p>
    <w:p>
      <w:pPr>
        <w:adjustRightInd w:val="0"/>
        <w:snapToGrid w:val="0"/>
        <w:spacing w:line="360" w:lineRule="auto"/>
        <w:jc w:val="center"/>
        <w:rPr>
          <w:rFonts w:hint="default" w:ascii="黑体" w:hAnsi="Times New Roman" w:eastAsia="黑体" w:cs="Times New Roman"/>
          <w:sz w:val="32"/>
          <w:szCs w:val="32"/>
        </w:rPr>
      </w:pPr>
      <w:r>
        <w:rPr>
          <w:rFonts w:hint="eastAsia" w:ascii="黑体" w:hAnsi="Times New Roman" w:eastAsia="黑体" w:cs="Times New Roman"/>
          <w:sz w:val="32"/>
          <w:szCs w:val="32"/>
        </w:rPr>
        <w:t>第六章  附则</w:t>
      </w:r>
    </w:p>
    <w:p>
      <w:pPr>
        <w:adjustRightInd w:val="0"/>
        <w:snapToGrid w:val="0"/>
        <w:spacing w:line="360" w:lineRule="auto"/>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第十八条  本办法由招投标与资产管理处负责解释。</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第十九条  本办法自发布之日起施行，原《新乡医学院三全学院经济合同管理办法（试行）》（</w:t>
      </w:r>
      <w:r>
        <w:rPr>
          <w:rFonts w:hint="eastAsia" w:ascii="仿宋_GB2312" w:hAnsi="Calibri" w:eastAsia="仿宋_GB2312" w:cs="仿宋_GB2312"/>
          <w:sz w:val="32"/>
          <w:szCs w:val="32"/>
        </w:rPr>
        <w:t>院管〔2017〕5号</w:t>
      </w:r>
      <w:r>
        <w:rPr>
          <w:rFonts w:hint="eastAsia" w:ascii="仿宋_GB2312" w:hAnsi="仿宋_GB2312" w:eastAsia="仿宋_GB2312" w:cs="仿宋_GB2312"/>
          <w:sz w:val="32"/>
          <w:szCs w:val="32"/>
          <w:lang w:bidi="ar"/>
        </w:rPr>
        <w:t>）同时废止。</w:t>
      </w:r>
      <w:r>
        <w:rPr>
          <w:rFonts w:hint="eastAsia" w:ascii="仿宋_GB2312" w:hAnsi="仿宋_GB2312" w:eastAsia="仿宋_GB2312" w:cs="仿宋_GB2312"/>
          <w:sz w:val="32"/>
          <w:szCs w:val="32"/>
          <w:lang w:val="en-US" w:eastAsia="zh-CN" w:bidi="ar"/>
        </w:rPr>
        <w:t>本办法实施前，尚未完成审批的合同签约项目，仍按照原管理办法执行。</w:t>
      </w:r>
    </w:p>
    <w:p>
      <w:pPr>
        <w:adjustRightInd w:val="0"/>
        <w:snapToGrid w:val="0"/>
        <w:spacing w:line="360" w:lineRule="auto"/>
        <w:ind w:firstLine="640" w:firstLineChars="200"/>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p>
      <w:pPr>
        <w:snapToGrid w:val="0"/>
        <w:spacing w:line="360" w:lineRule="auto"/>
        <w:rPr>
          <w:rFonts w:hint="eastAsia" w:ascii="仿宋_GB2312"/>
        </w:rPr>
      </w:pPr>
    </w:p>
    <w:tbl>
      <w:tblPr>
        <w:tblStyle w:val="30"/>
        <w:tblpPr w:leftFromText="181" w:rightFromText="181" w:vertAnchor="page" w:tblpXSpec="center" w:tblpY="14460"/>
        <w:tblOverlap w:val="never"/>
        <w:tblW w:w="0" w:type="auto"/>
        <w:tblCaption w:val="Tablewxf8"/>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5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9052" w:type="dxa"/>
            <w:noWrap w:val="0"/>
            <w:vAlign w:val="center"/>
          </w:tcPr>
          <w:p>
            <w:pPr>
              <w:snapToGrid w:val="0"/>
              <w:spacing w:line="579" w:lineRule="exact"/>
              <w:ind w:firstLine="280" w:firstLineChars="100"/>
              <w:rPr>
                <w:rFonts w:ascii="仿宋_GB2312" w:hAnsi="宋体"/>
                <w:szCs w:val="32"/>
              </w:rPr>
            </w:pPr>
            <w:r>
              <w:rPr>
                <w:rFonts w:hint="eastAsia" w:ascii="仿宋_GB2312" w:hAnsi="宋体"/>
                <w:sz w:val="28"/>
                <w:szCs w:val="28"/>
              </w:rPr>
              <w:t xml:space="preserve">豫北医学院校长办公室                     </w:t>
            </w:r>
            <w:r>
              <w:rPr>
                <w:rFonts w:ascii="仿宋_GB2312" w:hAnsi="宋体"/>
                <w:sz w:val="28"/>
                <w:szCs w:val="28"/>
              </w:rPr>
              <w:t>20</w:t>
            </w:r>
            <w:r>
              <w:rPr>
                <w:rFonts w:hint="eastAsia" w:ascii="仿宋_GB2312" w:hAnsi="宋体"/>
                <w:sz w:val="28"/>
                <w:szCs w:val="28"/>
              </w:rPr>
              <w:t>26</w:t>
            </w:r>
            <w:r>
              <w:rPr>
                <w:rFonts w:ascii="仿宋_GB2312" w:hAnsi="宋体"/>
                <w:sz w:val="28"/>
                <w:szCs w:val="28"/>
              </w:rPr>
              <w:t>年6月</w:t>
            </w:r>
            <w:r>
              <w:rPr>
                <w:rFonts w:hint="eastAsia" w:ascii="仿宋_GB2312" w:hAnsi="宋体"/>
                <w:sz w:val="28"/>
                <w:szCs w:val="28"/>
              </w:rPr>
              <w:t>17</w:t>
            </w:r>
            <w:r>
              <w:rPr>
                <w:rFonts w:ascii="仿宋_GB2312" w:hAnsi="宋体"/>
                <w:sz w:val="28"/>
                <w:szCs w:val="28"/>
              </w:rPr>
              <w:t>日</w:t>
            </w:r>
            <w:r>
              <w:rPr>
                <w:rFonts w:hint="eastAsia" w:ascii="仿宋_GB2312" w:hAnsi="宋体"/>
                <w:sz w:val="28"/>
                <w:szCs w:val="28"/>
              </w:rPr>
              <w:t>印发</w:t>
            </w:r>
          </w:p>
        </w:tc>
      </w:tr>
    </w:tbl>
    <w:p>
      <w:pPr>
        <w:spacing w:line="20" w:lineRule="exact"/>
        <w:rPr>
          <w:rFonts w:hint="eastAsia"/>
        </w:rPr>
      </w:pPr>
    </w:p>
    <w:sectPr>
      <w:pgSz w:w="11906" w:h="16838"/>
      <w:pgMar w:top="2098" w:right="1327" w:bottom="1588" w:left="1644" w:header="851" w:footer="992" w:gutter="0"/>
      <w:cols w:space="425" w:num="1"/>
      <w:docGrid w:type="linesAndChars" w:linePitch="597" w:charSpace="-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quot;Times New Roman&quot;">
    <w:altName w:val="Times New Roman"/>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80"/>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C937"/>
    <w:multiLevelType w:val="multilevel"/>
    <w:tmpl w:val="FFBFC937"/>
    <w:lvl w:ilvl="0" w:tentative="0">
      <w:start w:val="5"/>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evenAndOddHeaders w:val="1"/>
  <w:drawingGridHorizontalSpacing w:val="-1"/>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95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Plain Text"/>
    <w:basedOn w:val="1"/>
    <w:link w:val="185"/>
    <w:uiPriority w:val="0"/>
    <w:rPr>
      <w:rFonts w:ascii="宋体" w:hAnsi="Courier New" w:eastAsia="宋体" w:cs="宋体"/>
      <w:sz w:val="21"/>
      <w:szCs w:val="21"/>
    </w:rPr>
  </w:style>
  <w:style w:type="paragraph" w:styleId="16">
    <w:name w:val="toc 8"/>
    <w:basedOn w:val="1"/>
    <w:next w:val="1"/>
    <w:unhideWhenUsed/>
    <w:uiPriority w:val="39"/>
    <w:pPr>
      <w:spacing w:after="57"/>
      <w:ind w:left="1984" w:right="0" w:firstLine="0"/>
    </w:pPr>
  </w:style>
  <w:style w:type="paragraph" w:styleId="17">
    <w:name w:val="endnote text"/>
    <w:basedOn w:val="1"/>
    <w:link w:val="183"/>
    <w:semiHidden/>
    <w:unhideWhenUsed/>
    <w:qFormat/>
    <w:uiPriority w:val="99"/>
    <w:pPr>
      <w:spacing w:after="0" w:line="240" w:lineRule="auto"/>
    </w:pPr>
    <w:rPr>
      <w:sz w:val="20"/>
    </w:rPr>
  </w:style>
  <w:style w:type="paragraph" w:styleId="18">
    <w:name w:val="Balloon Text"/>
    <w:basedOn w:val="1"/>
    <w:semiHidden/>
    <w:uiPriority w:val="0"/>
    <w:rPr>
      <w:sz w:val="18"/>
      <w:szCs w:val="18"/>
    </w:rPr>
  </w:style>
  <w:style w:type="paragraph" w:styleId="19">
    <w:name w:val="footer"/>
    <w:basedOn w:val="1"/>
    <w:link w:val="186"/>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uiPriority w:val="99"/>
    <w:rPr>
      <w:vertAlign w:val="superscript"/>
    </w:rPr>
  </w:style>
  <w:style w:type="character" w:styleId="34">
    <w:name w:val="page number"/>
    <w:basedOn w:val="32"/>
    <w:qFormat/>
    <w:uiPriority w:val="0"/>
  </w:style>
  <w:style w:type="character" w:styleId="35">
    <w:name w:val="Hyperlink"/>
    <w:unhideWhenUsed/>
    <w:uiPriority w:val="99"/>
    <w:rPr>
      <w:color w:val="0000FF" w:themeColor="hyperlink"/>
      <w:u w:val="single"/>
      <w14:textFill>
        <w14:solidFill>
          <w14:schemeClr w14:val="hlink"/>
        </w14:solidFill>
      </w14:textFill>
    </w:rPr>
  </w:style>
  <w:style w:type="character" w:styleId="36">
    <w:name w:val="footnote reference"/>
    <w:basedOn w:val="32"/>
    <w:unhideWhenUsed/>
    <w:uiPriority w:val="99"/>
    <w:rPr>
      <w:vertAlign w:val="superscript"/>
    </w:rPr>
  </w:style>
  <w:style w:type="character" w:customStyle="1" w:styleId="37">
    <w:name w:val="Heading 1 Char"/>
    <w:basedOn w:val="32"/>
    <w:link w:val="2"/>
    <w:qFormat/>
    <w:uiPriority w:val="9"/>
    <w:rPr>
      <w:rFonts w:ascii="Arial" w:hAnsi="Arial" w:eastAsia="Arial" w:cs="Arial"/>
      <w:sz w:val="40"/>
      <w:szCs w:val="40"/>
    </w:rPr>
  </w:style>
  <w:style w:type="character" w:customStyle="1" w:styleId="38">
    <w:name w:val="Heading 2 Char"/>
    <w:basedOn w:val="32"/>
    <w:link w:val="3"/>
    <w:qFormat/>
    <w:uiPriority w:val="9"/>
    <w:rPr>
      <w:rFonts w:ascii="Arial" w:hAnsi="Arial" w:eastAsia="Arial" w:cs="Arial"/>
      <w:sz w:val="34"/>
    </w:rPr>
  </w:style>
  <w:style w:type="character" w:customStyle="1" w:styleId="39">
    <w:name w:val="Heading 3 Char"/>
    <w:basedOn w:val="32"/>
    <w:link w:val="4"/>
    <w:qFormat/>
    <w:uiPriority w:val="9"/>
    <w:rPr>
      <w:rFonts w:ascii="Arial" w:hAnsi="Arial" w:eastAsia="Arial" w:cs="Arial"/>
      <w:sz w:val="30"/>
      <w:szCs w:val="30"/>
    </w:rPr>
  </w:style>
  <w:style w:type="character" w:customStyle="1" w:styleId="40">
    <w:name w:val="Heading 4 Char"/>
    <w:basedOn w:val="32"/>
    <w:link w:val="5"/>
    <w:qFormat/>
    <w:uiPriority w:val="9"/>
    <w:rPr>
      <w:rFonts w:ascii="Arial" w:hAnsi="Arial" w:eastAsia="Arial" w:cs="Arial"/>
      <w:b/>
      <w:bCs/>
      <w:sz w:val="26"/>
      <w:szCs w:val="26"/>
    </w:rPr>
  </w:style>
  <w:style w:type="character" w:customStyle="1" w:styleId="41">
    <w:name w:val="Heading 5 Char"/>
    <w:basedOn w:val="32"/>
    <w:link w:val="6"/>
    <w:qFormat/>
    <w:uiPriority w:val="9"/>
    <w:rPr>
      <w:rFonts w:ascii="Arial" w:hAnsi="Arial" w:eastAsia="Arial" w:cs="Arial"/>
      <w:b/>
      <w:bCs/>
      <w:sz w:val="24"/>
      <w:szCs w:val="24"/>
    </w:rPr>
  </w:style>
  <w:style w:type="character" w:customStyle="1" w:styleId="42">
    <w:name w:val="Heading 6 Char"/>
    <w:basedOn w:val="32"/>
    <w:link w:val="7"/>
    <w:uiPriority w:val="9"/>
    <w:rPr>
      <w:rFonts w:ascii="Arial" w:hAnsi="Arial" w:eastAsia="Arial" w:cs="Arial"/>
      <w:b/>
      <w:bCs/>
      <w:sz w:val="22"/>
      <w:szCs w:val="22"/>
    </w:rPr>
  </w:style>
  <w:style w:type="character" w:customStyle="1" w:styleId="43">
    <w:name w:val="Heading 7 Char"/>
    <w:basedOn w:val="32"/>
    <w:link w:val="8"/>
    <w:uiPriority w:val="9"/>
    <w:rPr>
      <w:rFonts w:ascii="Arial" w:hAnsi="Arial" w:eastAsia="Arial" w:cs="Arial"/>
      <w:b/>
      <w:bCs/>
      <w:i/>
      <w:iCs/>
      <w:sz w:val="22"/>
      <w:szCs w:val="22"/>
    </w:rPr>
  </w:style>
  <w:style w:type="character" w:customStyle="1" w:styleId="44">
    <w:name w:val="Heading 8 Char"/>
    <w:basedOn w:val="32"/>
    <w:link w:val="9"/>
    <w:uiPriority w:val="9"/>
    <w:rPr>
      <w:rFonts w:ascii="Arial" w:hAnsi="Arial" w:eastAsia="Arial" w:cs="Arial"/>
      <w:i/>
      <w:iCs/>
      <w:sz w:val="22"/>
      <w:szCs w:val="22"/>
    </w:rPr>
  </w:style>
  <w:style w:type="character" w:customStyle="1" w:styleId="45">
    <w:name w:val="Heading 9 Char"/>
    <w:basedOn w:val="32"/>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2"/>
    <w:link w:val="29"/>
    <w:uiPriority w:val="10"/>
    <w:rPr>
      <w:sz w:val="48"/>
      <w:szCs w:val="48"/>
    </w:rPr>
  </w:style>
  <w:style w:type="character" w:customStyle="1" w:styleId="49">
    <w:name w:val="Subtitle Char"/>
    <w:basedOn w:val="32"/>
    <w:link w:val="23"/>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uiPriority w:val="99"/>
  </w:style>
  <w:style w:type="character" w:customStyle="1" w:styleId="55">
    <w:name w:val="Footer Char"/>
    <w:basedOn w:val="32"/>
    <w:uiPriority w:val="99"/>
  </w:style>
  <w:style w:type="character" w:customStyle="1" w:styleId="56">
    <w:name w:val="Caption Char"/>
    <w:qFormat/>
    <w:uiPriority w:val="99"/>
  </w:style>
  <w:style w:type="table" w:customStyle="1" w:styleId="57">
    <w:name w:val="Table Grid Light"/>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0"/>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qFormat/>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qFormat/>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qFormat/>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qFormat/>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0"/>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qFormat/>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4"/>
    <w:qFormat/>
    <w:uiPriority w:val="99"/>
    <w:rPr>
      <w:sz w:val="18"/>
    </w:rPr>
  </w:style>
  <w:style w:type="character" w:customStyle="1" w:styleId="183">
    <w:name w:val="Endnote Text Char"/>
    <w:link w:val="17"/>
    <w:uiPriority w:val="99"/>
    <w:rPr>
      <w:sz w:val="20"/>
    </w:rPr>
  </w:style>
  <w:style w:type="paragraph" w:customStyle="1" w:styleId="184">
    <w:name w:val="TOC Heading"/>
    <w:unhideWhenUsed/>
    <w:uiPriority w:val="39"/>
    <w:rPr>
      <w:rFonts w:hint="default" w:ascii="Times New Roman" w:hAnsi="Times New Roman" w:eastAsia="宋体" w:cs="Times New Roman"/>
    </w:rPr>
  </w:style>
  <w:style w:type="character" w:customStyle="1" w:styleId="185">
    <w:name w:val="纯文本 Char"/>
    <w:link w:val="15"/>
    <w:qFormat/>
    <w:uiPriority w:val="0"/>
    <w:rPr>
      <w:rFonts w:ascii="宋体" w:hAnsi="Courier New" w:eastAsia="宋体" w:cs="宋体"/>
      <w:kern w:val="2"/>
      <w:sz w:val="21"/>
      <w:szCs w:val="21"/>
      <w:lang w:val="en-US" w:eastAsia="zh-CN" w:bidi="ar-SA"/>
    </w:rPr>
  </w:style>
  <w:style w:type="character" w:customStyle="1" w:styleId="186">
    <w:name w:val="页脚 Char"/>
    <w:link w:val="1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2010-08-18T06:58:00Z</dcterms:created>
  <dc:creator>微软中国</dc:creator>
  <cp:lastModifiedBy>孙峰</cp:lastModifiedBy>
  <dcterms:modified xsi:type="dcterms:W3CDTF">2026-07-13T16:44:40Z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69C71B0667617FAD78A5546ADDD2DE8B</vt:lpwstr>
  </property>
</Properties>
</file>